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6" w:rsidRDefault="00DC2196" w:rsidP="00DC21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2196" w:rsidRDefault="00DC2196" w:rsidP="00DC2196">
      <w:pPr>
        <w:widowControl w:val="0"/>
        <w:autoSpaceDE w:val="0"/>
        <w:autoSpaceDN w:val="0"/>
        <w:adjustRightInd w:val="0"/>
        <w:jc w:val="center"/>
      </w:pPr>
      <w:r>
        <w:t>PART 145</w:t>
      </w:r>
    </w:p>
    <w:p w:rsidR="00DC2196" w:rsidRDefault="00DC2196" w:rsidP="00DC2196">
      <w:pPr>
        <w:widowControl w:val="0"/>
        <w:autoSpaceDE w:val="0"/>
        <w:autoSpaceDN w:val="0"/>
        <w:adjustRightInd w:val="0"/>
        <w:jc w:val="center"/>
      </w:pPr>
      <w:r>
        <w:t>TEMPORARY RELOCATION EXPENSES</w:t>
      </w:r>
    </w:p>
    <w:sectPr w:rsidR="00DC2196" w:rsidSect="00DC21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196"/>
    <w:rsid w:val="000367B0"/>
    <w:rsid w:val="005C3366"/>
    <w:rsid w:val="00622CEA"/>
    <w:rsid w:val="00825382"/>
    <w:rsid w:val="00C64EEE"/>
    <w:rsid w:val="00DC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145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145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