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45" w:rsidRDefault="00762C45" w:rsidP="008C2D4C">
      <w:pPr>
        <w:spacing w:line="240" w:lineRule="exact"/>
        <w:jc w:val="center"/>
      </w:pPr>
      <w:bookmarkStart w:id="0" w:name="_GoBack"/>
      <w:bookmarkEnd w:id="0"/>
    </w:p>
    <w:p w:rsidR="008C2D4C" w:rsidRPr="008C2D4C" w:rsidRDefault="008C2D4C" w:rsidP="008C2D4C">
      <w:pPr>
        <w:spacing w:line="240" w:lineRule="exact"/>
        <w:jc w:val="center"/>
      </w:pPr>
      <w:r w:rsidRPr="008C2D4C">
        <w:t>PART 100</w:t>
      </w:r>
    </w:p>
    <w:p w:rsidR="00762C45" w:rsidRDefault="008C2D4C" w:rsidP="008C2D4C">
      <w:pPr>
        <w:jc w:val="center"/>
      </w:pPr>
      <w:r w:rsidRPr="008C2D4C">
        <w:t>REQUIREMENTS FOR ACCOUNTING, BUDGETING,</w:t>
      </w:r>
    </w:p>
    <w:p w:rsidR="008C2D4C" w:rsidRPr="008C2D4C" w:rsidRDefault="008C2D4C" w:rsidP="008C2D4C">
      <w:pPr>
        <w:jc w:val="center"/>
      </w:pPr>
      <w:r w:rsidRPr="008C2D4C">
        <w:t>FINANCIAL REPORTING, AND AUDITING</w:t>
      </w:r>
    </w:p>
    <w:sectPr w:rsidR="008C2D4C" w:rsidRPr="008C2D4C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33" w:rsidRDefault="00250E33">
      <w:r>
        <w:separator/>
      </w:r>
    </w:p>
  </w:endnote>
  <w:endnote w:type="continuationSeparator" w:id="0">
    <w:p w:rsidR="00250E33" w:rsidRDefault="0025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33" w:rsidRDefault="00250E33">
      <w:r>
        <w:separator/>
      </w:r>
    </w:p>
  </w:footnote>
  <w:footnote w:type="continuationSeparator" w:id="0">
    <w:p w:rsidR="00250E33" w:rsidRDefault="00250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2D4C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0E33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5E76CD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2C4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2D4C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50EA4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1B8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2012-06-22T01:34:00Z</dcterms:created>
  <dcterms:modified xsi:type="dcterms:W3CDTF">2012-06-22T01:34:00Z</dcterms:modified>
</cp:coreProperties>
</file>