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2750" w14:textId="77777777" w:rsidR="00F92706" w:rsidRPr="00CA3158" w:rsidRDefault="00F92706" w:rsidP="00F92706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C9225DE" w14:textId="77777777" w:rsidR="0073383F" w:rsidRPr="00CA3158" w:rsidRDefault="0073383F" w:rsidP="0073383F">
      <w:pPr>
        <w:rPr>
          <w:b/>
          <w:color w:val="000000" w:themeColor="text1"/>
        </w:rPr>
      </w:pPr>
      <w:r w:rsidRPr="00CA3158">
        <w:rPr>
          <w:b/>
          <w:color w:val="000000" w:themeColor="text1"/>
        </w:rPr>
        <w:t>Section 25.99  Endorsement for the Middle Grades (Grades 5 through 8)</w:t>
      </w:r>
    </w:p>
    <w:p w14:paraId="4DC38E96" w14:textId="77777777" w:rsidR="0073383F" w:rsidRPr="00CA3158" w:rsidRDefault="0073383F" w:rsidP="0073383F">
      <w:pPr>
        <w:rPr>
          <w:color w:val="000000" w:themeColor="text1"/>
        </w:rPr>
      </w:pPr>
    </w:p>
    <w:p w14:paraId="624201A2" w14:textId="77777777" w:rsidR="0073383F" w:rsidRPr="00CA3158" w:rsidRDefault="0073383F" w:rsidP="0073383F">
      <w:pPr>
        <w:rPr>
          <w:color w:val="000000" w:themeColor="text1"/>
        </w:rPr>
      </w:pPr>
      <w:r w:rsidRPr="00CA3158">
        <w:rPr>
          <w:color w:val="000000" w:themeColor="text1"/>
        </w:rPr>
        <w:t xml:space="preserve">The requirements </w:t>
      </w:r>
      <w:r w:rsidR="00194666" w:rsidRPr="00CA3158">
        <w:rPr>
          <w:color w:val="000000" w:themeColor="text1"/>
        </w:rPr>
        <w:t xml:space="preserve">set forth in this Section apply to </w:t>
      </w:r>
      <w:r w:rsidR="00D06B25" w:rsidRPr="00CA3158">
        <w:rPr>
          <w:color w:val="000000" w:themeColor="text1"/>
        </w:rPr>
        <w:t xml:space="preserve">the </w:t>
      </w:r>
      <w:r w:rsidR="00194666" w:rsidRPr="00CA3158">
        <w:rPr>
          <w:color w:val="000000" w:themeColor="text1"/>
        </w:rPr>
        <w:t>receipt of a middle grade endorsement issued for grade 5 through grade 8.</w:t>
      </w:r>
    </w:p>
    <w:p w14:paraId="19458855" w14:textId="77777777" w:rsidR="0073383F" w:rsidRPr="00CA3158" w:rsidRDefault="0073383F" w:rsidP="0073383F">
      <w:pPr>
        <w:rPr>
          <w:color w:val="000000" w:themeColor="text1"/>
        </w:rPr>
      </w:pPr>
    </w:p>
    <w:p w14:paraId="1B8BEE9C" w14:textId="77777777" w:rsidR="0073383F" w:rsidRPr="00CA3158" w:rsidRDefault="0073383F" w:rsidP="0073383F">
      <w:pPr>
        <w:pStyle w:val="ListParagraph"/>
        <w:spacing w:after="0" w:line="240" w:lineRule="auto"/>
        <w:ind w:left="144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A3158">
        <w:rPr>
          <w:rFonts w:ascii="Times New Roman" w:hAnsi="Times New Roman"/>
          <w:color w:val="000000" w:themeColor="text1"/>
          <w:sz w:val="24"/>
          <w:szCs w:val="24"/>
        </w:rPr>
        <w:t>a)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>A subject-specific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endorsement for the middle grades of 5 through 8 shall be affixed to </w:t>
      </w:r>
      <w:r w:rsidR="000B4A6A" w:rsidRPr="00CA31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125DD" w:rsidRPr="00CA3158">
        <w:rPr>
          <w:rFonts w:ascii="Times New Roman" w:hAnsi="Times New Roman"/>
          <w:color w:val="000000" w:themeColor="text1"/>
          <w:sz w:val="24"/>
          <w:szCs w:val="24"/>
        </w:rPr>
        <w:t>PEL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14:paraId="624DA652" w14:textId="77777777" w:rsidR="0073383F" w:rsidRPr="00CA3158" w:rsidRDefault="0073383F" w:rsidP="005A1CDF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57F274D9" w14:textId="77777777" w:rsidR="0073383F" w:rsidRPr="00CA3158" w:rsidRDefault="0073383F" w:rsidP="00194666">
      <w:pPr>
        <w:pStyle w:val="ListParagraph"/>
        <w:spacing w:after="0" w:line="240" w:lineRule="auto"/>
        <w:ind w:left="144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A3158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ab/>
        <w:t xml:space="preserve">Each candidate for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976585" w:rsidRPr="00CA3158">
        <w:rPr>
          <w:rFonts w:ascii="Times New Roman" w:hAnsi="Times New Roman"/>
          <w:color w:val="000000" w:themeColor="text1"/>
          <w:sz w:val="24"/>
          <w:szCs w:val="24"/>
        </w:rPr>
        <w:t>PEL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endorsed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for the middle grades shall complete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>the requirements set forth in Section 25.25.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 As applicable to the specific middle-grades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>subject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area of the endorsement,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>an Illinois approved program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shall include the following:</w:t>
      </w:r>
    </w:p>
    <w:p w14:paraId="0B79999A" w14:textId="77777777" w:rsidR="0073383F" w:rsidRPr="00CA3158" w:rsidRDefault="0073383F" w:rsidP="005A1CDF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53066A95" w14:textId="51CAA9CC" w:rsidR="0073383F" w:rsidRPr="00CA3158" w:rsidRDefault="00194666" w:rsidP="00194666">
      <w:pPr>
        <w:pStyle w:val="ListParagraph"/>
        <w:spacing w:after="0" w:line="240" w:lineRule="auto"/>
        <w:ind w:left="216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A315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3383F" w:rsidRPr="00CA31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3383F" w:rsidRPr="00CA3158">
        <w:rPr>
          <w:rFonts w:ascii="Times New Roman" w:hAnsi="Times New Roman"/>
          <w:color w:val="000000" w:themeColor="text1"/>
          <w:sz w:val="24"/>
          <w:szCs w:val="24"/>
        </w:rPr>
        <w:tab/>
        <w:t xml:space="preserve">for a middle-grades math endorsement, </w:t>
      </w:r>
      <w:r w:rsidR="00897A3E" w:rsidRPr="00CA3158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73383F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hours of math content, which shall include three hours of content-specific methods focused on the middle grades;</w:t>
      </w:r>
    </w:p>
    <w:p w14:paraId="3833B477" w14:textId="77777777" w:rsidR="0073383F" w:rsidRPr="00CA3158" w:rsidRDefault="0073383F" w:rsidP="00BA7897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329F0702" w14:textId="66E0D42B" w:rsidR="0073383F" w:rsidRPr="00CA3158" w:rsidRDefault="00194666" w:rsidP="00194666">
      <w:pPr>
        <w:ind w:left="2160" w:hanging="720"/>
        <w:rPr>
          <w:color w:val="000000" w:themeColor="text1"/>
        </w:rPr>
      </w:pPr>
      <w:r w:rsidRPr="00CA3158">
        <w:rPr>
          <w:color w:val="000000" w:themeColor="text1"/>
        </w:rPr>
        <w:t>2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 xml:space="preserve">for a middle-grades literacy endorsement, </w:t>
      </w:r>
      <w:r w:rsidR="00897A3E" w:rsidRPr="00CA3158">
        <w:rPr>
          <w:color w:val="000000" w:themeColor="text1"/>
        </w:rPr>
        <w:t>18</w:t>
      </w:r>
      <w:r w:rsidR="0073383F" w:rsidRPr="00CA3158">
        <w:rPr>
          <w:color w:val="000000" w:themeColor="text1"/>
        </w:rPr>
        <w:t xml:space="preserve"> hours of literacy content, which shall include three hours of content-specific methods focused on the middle grades; </w:t>
      </w:r>
    </w:p>
    <w:p w14:paraId="19DCA009" w14:textId="77777777" w:rsidR="0073383F" w:rsidRPr="00CA3158" w:rsidRDefault="0073383F" w:rsidP="00BA7897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3FF4379C" w14:textId="5A386663" w:rsidR="0073383F" w:rsidRPr="00CA3158" w:rsidRDefault="00194666" w:rsidP="00194666">
      <w:pPr>
        <w:ind w:left="2160" w:hanging="720"/>
        <w:rPr>
          <w:color w:val="000000" w:themeColor="text1"/>
        </w:rPr>
      </w:pPr>
      <w:r w:rsidRPr="00CA3158">
        <w:rPr>
          <w:color w:val="000000" w:themeColor="text1"/>
        </w:rPr>
        <w:t>3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 xml:space="preserve">for a middle-grades science endorsement, </w:t>
      </w:r>
      <w:r w:rsidR="00897A3E" w:rsidRPr="00CA3158">
        <w:rPr>
          <w:color w:val="000000" w:themeColor="text1"/>
        </w:rPr>
        <w:t>18</w:t>
      </w:r>
      <w:r w:rsidR="0073383F" w:rsidRPr="00CA3158">
        <w:rPr>
          <w:color w:val="000000" w:themeColor="text1"/>
        </w:rPr>
        <w:t xml:space="preserve"> hours of science content (including three hours of content-specific methods focused on the middle grades) to include coursework in each of the following areas:</w:t>
      </w:r>
    </w:p>
    <w:p w14:paraId="17063A4F" w14:textId="77777777" w:rsidR="0073383F" w:rsidRPr="00CA3158" w:rsidRDefault="0073383F" w:rsidP="005A1CDF">
      <w:pPr>
        <w:rPr>
          <w:color w:val="000000" w:themeColor="text1"/>
        </w:rPr>
      </w:pPr>
    </w:p>
    <w:p w14:paraId="64F7ABFC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A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physical sciences;</w:t>
      </w:r>
    </w:p>
    <w:p w14:paraId="0C8DC0BC" w14:textId="77777777" w:rsidR="0073383F" w:rsidRPr="00CA3158" w:rsidRDefault="0073383F" w:rsidP="00BA7897">
      <w:pPr>
        <w:rPr>
          <w:color w:val="000000" w:themeColor="text1"/>
        </w:rPr>
      </w:pPr>
    </w:p>
    <w:p w14:paraId="3527AC23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B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life sciences;</w:t>
      </w:r>
      <w:r w:rsidR="002B6668" w:rsidRPr="00CA3158">
        <w:rPr>
          <w:color w:val="000000" w:themeColor="text1"/>
        </w:rPr>
        <w:t xml:space="preserve"> and</w:t>
      </w:r>
    </w:p>
    <w:p w14:paraId="4E038B43" w14:textId="77777777" w:rsidR="0073383F" w:rsidRPr="00CA3158" w:rsidRDefault="0073383F" w:rsidP="00BA7897">
      <w:pPr>
        <w:rPr>
          <w:color w:val="000000" w:themeColor="text1"/>
        </w:rPr>
      </w:pPr>
    </w:p>
    <w:p w14:paraId="79026D4B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C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earth and space sciences;</w:t>
      </w:r>
      <w:r w:rsidR="00976585" w:rsidRPr="00CA3158">
        <w:rPr>
          <w:color w:val="000000" w:themeColor="text1"/>
        </w:rPr>
        <w:t xml:space="preserve"> or</w:t>
      </w:r>
      <w:r w:rsidR="0073383F" w:rsidRPr="00CA3158">
        <w:rPr>
          <w:color w:val="000000" w:themeColor="text1"/>
        </w:rPr>
        <w:t xml:space="preserve"> </w:t>
      </w:r>
    </w:p>
    <w:p w14:paraId="6D27BBEC" w14:textId="77777777" w:rsidR="0073383F" w:rsidRPr="00CA3158" w:rsidRDefault="0073383F" w:rsidP="005A1CDF">
      <w:pPr>
        <w:rPr>
          <w:color w:val="000000" w:themeColor="text1"/>
        </w:rPr>
      </w:pPr>
    </w:p>
    <w:p w14:paraId="2861394F" w14:textId="40BCCBF7" w:rsidR="0073383F" w:rsidRPr="00CA3158" w:rsidRDefault="00194666" w:rsidP="00194666">
      <w:pPr>
        <w:ind w:left="2160" w:hanging="720"/>
        <w:rPr>
          <w:color w:val="000000" w:themeColor="text1"/>
        </w:rPr>
      </w:pPr>
      <w:r w:rsidRPr="00CA3158">
        <w:rPr>
          <w:color w:val="000000" w:themeColor="text1"/>
        </w:rPr>
        <w:t>4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 xml:space="preserve">for a middle-grades social science endorsement, </w:t>
      </w:r>
      <w:r w:rsidR="00BE646D" w:rsidRPr="00CA3158">
        <w:rPr>
          <w:color w:val="000000" w:themeColor="text1"/>
        </w:rPr>
        <w:t>18</w:t>
      </w:r>
      <w:r w:rsidR="0073383F" w:rsidRPr="00CA3158">
        <w:rPr>
          <w:color w:val="000000" w:themeColor="text1"/>
        </w:rPr>
        <w:t xml:space="preserve"> hours of social science content (including three hours of content-specific methods focused on the middle grades) to include coursework in each of the following areas, in relation to Illinois, the United States</w:t>
      </w:r>
      <w:r w:rsidRPr="00CA3158">
        <w:rPr>
          <w:color w:val="000000" w:themeColor="text1"/>
        </w:rPr>
        <w:t>,</w:t>
      </w:r>
      <w:r w:rsidR="0073383F" w:rsidRPr="00CA3158">
        <w:rPr>
          <w:color w:val="000000" w:themeColor="text1"/>
        </w:rPr>
        <w:t xml:space="preserve"> and the world:</w:t>
      </w:r>
    </w:p>
    <w:p w14:paraId="34E046D2" w14:textId="77777777" w:rsidR="0073383F" w:rsidRPr="00CA3158" w:rsidRDefault="0073383F" w:rsidP="005A1CDF">
      <w:pPr>
        <w:rPr>
          <w:color w:val="000000" w:themeColor="text1"/>
        </w:rPr>
      </w:pPr>
    </w:p>
    <w:p w14:paraId="1B09A5D5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A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history</w:t>
      </w:r>
      <w:r w:rsidR="00B348E1" w:rsidRPr="00CA3158">
        <w:rPr>
          <w:color w:val="000000" w:themeColor="text1"/>
        </w:rPr>
        <w:t>;</w:t>
      </w:r>
    </w:p>
    <w:p w14:paraId="5C2B910D" w14:textId="77777777" w:rsidR="0073383F" w:rsidRPr="00CA3158" w:rsidRDefault="0073383F" w:rsidP="00BA7897">
      <w:pPr>
        <w:rPr>
          <w:color w:val="000000" w:themeColor="text1"/>
        </w:rPr>
      </w:pPr>
    </w:p>
    <w:p w14:paraId="0E68942A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B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geography</w:t>
      </w:r>
      <w:r w:rsidR="00B348E1" w:rsidRPr="00CA3158">
        <w:rPr>
          <w:color w:val="000000" w:themeColor="text1"/>
        </w:rPr>
        <w:t>;</w:t>
      </w:r>
    </w:p>
    <w:p w14:paraId="5D08CD12" w14:textId="77777777" w:rsidR="0073383F" w:rsidRPr="00CA3158" w:rsidRDefault="0073383F" w:rsidP="00BA7897">
      <w:pPr>
        <w:rPr>
          <w:color w:val="000000" w:themeColor="text1"/>
        </w:rPr>
      </w:pPr>
    </w:p>
    <w:p w14:paraId="35B0261F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C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civics and government</w:t>
      </w:r>
      <w:r w:rsidR="00B348E1" w:rsidRPr="00CA3158">
        <w:rPr>
          <w:color w:val="000000" w:themeColor="text1"/>
        </w:rPr>
        <w:t>;</w:t>
      </w:r>
      <w:r w:rsidR="0073383F" w:rsidRPr="00CA3158">
        <w:rPr>
          <w:color w:val="000000" w:themeColor="text1"/>
        </w:rPr>
        <w:t xml:space="preserve"> and</w:t>
      </w:r>
    </w:p>
    <w:p w14:paraId="41B35365" w14:textId="77777777" w:rsidR="0073383F" w:rsidRPr="00CA3158" w:rsidRDefault="0073383F" w:rsidP="00BA7897">
      <w:pPr>
        <w:rPr>
          <w:color w:val="000000" w:themeColor="text1"/>
        </w:rPr>
      </w:pPr>
    </w:p>
    <w:p w14:paraId="17932542" w14:textId="77777777" w:rsidR="0073383F" w:rsidRPr="00CA3158" w:rsidRDefault="00194666" w:rsidP="00194666">
      <w:pPr>
        <w:ind w:left="2880" w:hanging="720"/>
        <w:rPr>
          <w:color w:val="000000" w:themeColor="text1"/>
        </w:rPr>
      </w:pPr>
      <w:r w:rsidRPr="00CA3158">
        <w:rPr>
          <w:color w:val="000000" w:themeColor="text1"/>
        </w:rPr>
        <w:t>D</w:t>
      </w:r>
      <w:r w:rsidR="0073383F" w:rsidRPr="00CA3158">
        <w:rPr>
          <w:color w:val="000000" w:themeColor="text1"/>
        </w:rPr>
        <w:t>)</w:t>
      </w:r>
      <w:r w:rsidR="0073383F" w:rsidRPr="00CA3158">
        <w:rPr>
          <w:color w:val="000000" w:themeColor="text1"/>
        </w:rPr>
        <w:tab/>
        <w:t>economics</w:t>
      </w:r>
      <w:r w:rsidR="00D06B25" w:rsidRPr="00CA3158">
        <w:rPr>
          <w:color w:val="000000" w:themeColor="text1"/>
        </w:rPr>
        <w:t>.</w:t>
      </w:r>
    </w:p>
    <w:p w14:paraId="0309071C" w14:textId="77777777" w:rsidR="0073383F" w:rsidRPr="00CA3158" w:rsidRDefault="0073383F" w:rsidP="00BA7897">
      <w:pPr>
        <w:rPr>
          <w:color w:val="000000" w:themeColor="text1"/>
        </w:rPr>
      </w:pPr>
    </w:p>
    <w:p w14:paraId="0C625E25" w14:textId="77777777" w:rsidR="0073383F" w:rsidRPr="00CA3158" w:rsidRDefault="00AB30C6" w:rsidP="0073383F">
      <w:pPr>
        <w:pStyle w:val="ListParagraph"/>
        <w:spacing w:after="0" w:line="240" w:lineRule="auto"/>
        <w:ind w:left="144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A3158">
        <w:rPr>
          <w:rFonts w:ascii="Times New Roman" w:hAnsi="Times New Roman"/>
          <w:color w:val="000000" w:themeColor="text1"/>
          <w:sz w:val="24"/>
          <w:szCs w:val="24"/>
        </w:rPr>
        <w:lastRenderedPageBreak/>
        <w:t>c</w:t>
      </w:r>
      <w:r w:rsidR="0073383F" w:rsidRPr="00CA31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3383F" w:rsidRPr="00CA31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666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Each individual enrolled in an Illinois-approved program shall complete field experiences and student teaching, as required </w:t>
      </w:r>
      <w:r w:rsidR="00976585" w:rsidRPr="00CA3158">
        <w:rPr>
          <w:rFonts w:ascii="Times New Roman" w:hAnsi="Times New Roman"/>
          <w:color w:val="000000" w:themeColor="text1"/>
          <w:sz w:val="24"/>
          <w:szCs w:val="24"/>
        </w:rPr>
        <w:t>by</w:t>
      </w:r>
      <w:r w:rsidR="00194666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Section 25.620.</w:t>
      </w:r>
    </w:p>
    <w:p w14:paraId="34C261EC" w14:textId="77777777" w:rsidR="0040493A" w:rsidRPr="00CA3158" w:rsidRDefault="0040493A" w:rsidP="00BA7897">
      <w:pPr>
        <w:rPr>
          <w:color w:val="000000" w:themeColor="text1"/>
        </w:rPr>
      </w:pPr>
    </w:p>
    <w:p w14:paraId="20337936" w14:textId="77777777" w:rsidR="0040493A" w:rsidRPr="00CA3158" w:rsidRDefault="00194666" w:rsidP="0040493A">
      <w:pPr>
        <w:pStyle w:val="ListParagraph"/>
        <w:spacing w:after="0" w:line="240" w:lineRule="auto"/>
        <w:ind w:left="144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CA3158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 individual who holds a valid </w:t>
      </w:r>
      <w:r w:rsidR="00976585" w:rsidRPr="00CA3158">
        <w:rPr>
          <w:rFonts w:ascii="Times New Roman" w:hAnsi="Times New Roman"/>
          <w:color w:val="000000" w:themeColor="text1"/>
          <w:sz w:val="24"/>
          <w:szCs w:val="24"/>
        </w:rPr>
        <w:t>PEL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with an </w:t>
      </w:r>
      <w:proofErr w:type="spellStart"/>
      <w:r w:rsidR="00976585" w:rsidRPr="00CA3158">
        <w:rPr>
          <w:rFonts w:ascii="Times New Roman" w:hAnsi="Times New Roman"/>
          <w:color w:val="000000" w:themeColor="text1"/>
          <w:sz w:val="24"/>
          <w:szCs w:val="24"/>
        </w:rPr>
        <w:t>ECE</w:t>
      </w:r>
      <w:proofErr w:type="spellEnd"/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, elementary education, </w:t>
      </w:r>
      <w:r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middle-grades,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secondary, or special teaching endorsement shall receive a content-specific middle grades endorsement if </w:t>
      </w:r>
      <w:r w:rsidR="0089133F" w:rsidRPr="00CA3158">
        <w:rPr>
          <w:rFonts w:ascii="Times New Roman" w:hAnsi="Times New Roman"/>
          <w:color w:val="000000" w:themeColor="text1"/>
          <w:sz w:val="24"/>
          <w:szCs w:val="24"/>
        </w:rPr>
        <w:t>that individual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has successfully completed 18 semester hours of college-level coursework addressing each of the following areas specific to or inclusive of the middle grades </w:t>
      </w:r>
      <w:r w:rsidR="00AE5FC5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by demonstrating </w:t>
      </w:r>
      <w:r w:rsidR="0089133F" w:rsidRPr="00CA3158">
        <w:rPr>
          <w:rFonts w:ascii="Times New Roman" w:hAnsi="Times New Roman"/>
          <w:color w:val="000000" w:themeColor="text1"/>
          <w:sz w:val="24"/>
          <w:szCs w:val="24"/>
        </w:rPr>
        <w:t>attainment of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the relevant standards by passing the test required </w:t>
      </w:r>
      <w:r w:rsidR="000B4A6A" w:rsidRPr="00CA3158">
        <w:rPr>
          <w:rFonts w:ascii="Times New Roman" w:hAnsi="Times New Roman"/>
          <w:color w:val="000000" w:themeColor="text1"/>
          <w:sz w:val="24"/>
          <w:szCs w:val="24"/>
        </w:rPr>
        <w:t>by</w:t>
      </w:r>
      <w:r w:rsidR="0040493A" w:rsidRPr="00CA3158">
        <w:rPr>
          <w:rFonts w:ascii="Times New Roman" w:hAnsi="Times New Roman"/>
          <w:color w:val="000000" w:themeColor="text1"/>
          <w:sz w:val="24"/>
          <w:szCs w:val="24"/>
        </w:rPr>
        <w:t xml:space="preserve"> Section 25.720:</w:t>
      </w:r>
    </w:p>
    <w:p w14:paraId="71BDD914" w14:textId="77777777" w:rsidR="0040493A" w:rsidRPr="00CA3158" w:rsidRDefault="0040493A" w:rsidP="005A1CDF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1B3DCF43" w14:textId="77777777" w:rsidR="0040493A" w:rsidRPr="00CA3158" w:rsidRDefault="0040493A" w:rsidP="0040493A">
      <w:pPr>
        <w:ind w:left="2160" w:hanging="720"/>
        <w:rPr>
          <w:color w:val="000000" w:themeColor="text1"/>
        </w:rPr>
      </w:pPr>
      <w:r w:rsidRPr="00CA3158">
        <w:rPr>
          <w:color w:val="000000" w:themeColor="text1"/>
        </w:rPr>
        <w:t>1)</w:t>
      </w:r>
      <w:r w:rsidRPr="00CA3158">
        <w:rPr>
          <w:color w:val="000000" w:themeColor="text1"/>
        </w:rPr>
        <w:tab/>
      </w:r>
      <w:r w:rsidR="0089133F" w:rsidRPr="00CA3158">
        <w:rPr>
          <w:color w:val="000000" w:themeColor="text1"/>
        </w:rPr>
        <w:t>content</w:t>
      </w:r>
      <w:r w:rsidRPr="00CA3158">
        <w:rPr>
          <w:color w:val="000000" w:themeColor="text1"/>
        </w:rPr>
        <w:t>-specific methods; and</w:t>
      </w:r>
    </w:p>
    <w:p w14:paraId="2D450A4B" w14:textId="77777777" w:rsidR="0040493A" w:rsidRPr="00CA3158" w:rsidRDefault="0040493A" w:rsidP="005A1CDF">
      <w:pPr>
        <w:rPr>
          <w:color w:val="000000" w:themeColor="text1"/>
        </w:rPr>
      </w:pPr>
    </w:p>
    <w:p w14:paraId="4CA8A7A0" w14:textId="77777777" w:rsidR="0040493A" w:rsidRPr="00CA3158" w:rsidRDefault="0040493A" w:rsidP="0040493A">
      <w:pPr>
        <w:ind w:left="2160" w:hanging="720"/>
        <w:rPr>
          <w:color w:val="000000" w:themeColor="text1"/>
        </w:rPr>
      </w:pPr>
      <w:r w:rsidRPr="00CA3158">
        <w:rPr>
          <w:color w:val="000000" w:themeColor="text1"/>
        </w:rPr>
        <w:t>2)</w:t>
      </w:r>
      <w:r w:rsidRPr="00CA3158">
        <w:rPr>
          <w:color w:val="000000" w:themeColor="text1"/>
        </w:rPr>
        <w:tab/>
      </w:r>
      <w:r w:rsidR="0089133F" w:rsidRPr="00CA3158">
        <w:rPr>
          <w:color w:val="000000" w:themeColor="text1"/>
        </w:rPr>
        <w:t>content</w:t>
      </w:r>
      <w:r w:rsidRPr="00CA3158">
        <w:rPr>
          <w:color w:val="000000" w:themeColor="text1"/>
        </w:rPr>
        <w:t xml:space="preserve"> coursework specific to the content area sought.</w:t>
      </w:r>
    </w:p>
    <w:p w14:paraId="7D3390CB" w14:textId="77777777" w:rsidR="00100E60" w:rsidRPr="00CA3158" w:rsidRDefault="00100E60" w:rsidP="0040493A">
      <w:pPr>
        <w:rPr>
          <w:color w:val="000000" w:themeColor="text1"/>
        </w:rPr>
      </w:pPr>
    </w:p>
    <w:p w14:paraId="3E46BCA0" w14:textId="77777777" w:rsidR="00194666" w:rsidRPr="00CA3158" w:rsidRDefault="00194666" w:rsidP="00194666">
      <w:pPr>
        <w:ind w:left="1434" w:hanging="624"/>
        <w:rPr>
          <w:color w:val="000000" w:themeColor="text1"/>
        </w:rPr>
      </w:pPr>
      <w:r w:rsidRPr="00CA3158">
        <w:rPr>
          <w:color w:val="000000" w:themeColor="text1"/>
        </w:rPr>
        <w:t>e)</w:t>
      </w:r>
      <w:r w:rsidRPr="00CA3158">
        <w:rPr>
          <w:color w:val="000000" w:themeColor="text1"/>
        </w:rPr>
        <w:tab/>
        <w:t xml:space="preserve">A licensee holding the middle-grades endorsement instead of the elementary education endorsement on the </w:t>
      </w:r>
      <w:r w:rsidR="00976585" w:rsidRPr="00CA3158">
        <w:rPr>
          <w:color w:val="000000" w:themeColor="text1"/>
        </w:rPr>
        <w:t xml:space="preserve">PEL </w:t>
      </w:r>
      <w:r w:rsidRPr="00CA3158">
        <w:rPr>
          <w:color w:val="000000" w:themeColor="text1"/>
        </w:rPr>
        <w:t xml:space="preserve">may teach in grades 5 or 6 in a self-contained general education setting if </w:t>
      </w:r>
      <w:r w:rsidR="0089133F" w:rsidRPr="00CA3158">
        <w:rPr>
          <w:color w:val="000000" w:themeColor="text1"/>
        </w:rPr>
        <w:t>the licensee</w:t>
      </w:r>
      <w:r w:rsidRPr="00CA3158">
        <w:rPr>
          <w:color w:val="000000" w:themeColor="text1"/>
        </w:rPr>
        <w:t xml:space="preserve"> has a minimum of six semester hours of coursework in each content area to be taught for which the licensee does not hold a content-area endorsement issued under subsection (a).</w:t>
      </w:r>
    </w:p>
    <w:p w14:paraId="3ABF09C9" w14:textId="77777777" w:rsidR="00194666" w:rsidRPr="00CA3158" w:rsidRDefault="00194666" w:rsidP="00BA7897">
      <w:pPr>
        <w:rPr>
          <w:color w:val="000000" w:themeColor="text1"/>
        </w:rPr>
      </w:pPr>
    </w:p>
    <w:p w14:paraId="4DE73EAF" w14:textId="4D351136" w:rsidR="00100E60" w:rsidRPr="00CA3158" w:rsidRDefault="00897A3E" w:rsidP="00100E60">
      <w:pPr>
        <w:ind w:firstLine="720"/>
        <w:rPr>
          <w:color w:val="000000" w:themeColor="text1"/>
        </w:rPr>
      </w:pPr>
      <w:r w:rsidRPr="00CA3158">
        <w:rPr>
          <w:color w:val="000000" w:themeColor="text1"/>
        </w:rPr>
        <w:t xml:space="preserve">(Source:  Amended at 46 Ill. Reg. </w:t>
      </w:r>
      <w:r w:rsidR="005B1BB5" w:rsidRPr="00CA3158">
        <w:rPr>
          <w:color w:val="000000" w:themeColor="text1"/>
        </w:rPr>
        <w:t>12973</w:t>
      </w:r>
      <w:r w:rsidRPr="00CA3158">
        <w:rPr>
          <w:color w:val="000000" w:themeColor="text1"/>
        </w:rPr>
        <w:t xml:space="preserve">, effective </w:t>
      </w:r>
      <w:r w:rsidR="005B1BB5" w:rsidRPr="00CA3158">
        <w:rPr>
          <w:color w:val="000000" w:themeColor="text1"/>
        </w:rPr>
        <w:t>July 13, 2022</w:t>
      </w:r>
      <w:r w:rsidRPr="00CA3158">
        <w:rPr>
          <w:color w:val="000000" w:themeColor="text1"/>
        </w:rPr>
        <w:t>)</w:t>
      </w:r>
    </w:p>
    <w:sectPr w:rsidR="00100E60" w:rsidRPr="00CA3158" w:rsidSect="00F927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706"/>
    <w:rsid w:val="00070D4A"/>
    <w:rsid w:val="000B4A6A"/>
    <w:rsid w:val="000B6E53"/>
    <w:rsid w:val="000F55C3"/>
    <w:rsid w:val="00100E60"/>
    <w:rsid w:val="001109C0"/>
    <w:rsid w:val="00157E2C"/>
    <w:rsid w:val="00194666"/>
    <w:rsid w:val="001B59ED"/>
    <w:rsid w:val="0025307D"/>
    <w:rsid w:val="002B6668"/>
    <w:rsid w:val="00375BAB"/>
    <w:rsid w:val="0040493A"/>
    <w:rsid w:val="00445E85"/>
    <w:rsid w:val="004C0212"/>
    <w:rsid w:val="005627DC"/>
    <w:rsid w:val="00573F1A"/>
    <w:rsid w:val="005A1CDF"/>
    <w:rsid w:val="005B1BB5"/>
    <w:rsid w:val="005C2DA4"/>
    <w:rsid w:val="005C3366"/>
    <w:rsid w:val="005F0E08"/>
    <w:rsid w:val="006A5C80"/>
    <w:rsid w:val="006E05BC"/>
    <w:rsid w:val="006E1AFB"/>
    <w:rsid w:val="0073383F"/>
    <w:rsid w:val="00814040"/>
    <w:rsid w:val="00822F75"/>
    <w:rsid w:val="0089133F"/>
    <w:rsid w:val="00897A3E"/>
    <w:rsid w:val="00901FA0"/>
    <w:rsid w:val="0091608B"/>
    <w:rsid w:val="00976585"/>
    <w:rsid w:val="00AB30C6"/>
    <w:rsid w:val="00AE5FC5"/>
    <w:rsid w:val="00AE61BF"/>
    <w:rsid w:val="00B348E1"/>
    <w:rsid w:val="00B45B16"/>
    <w:rsid w:val="00B54312"/>
    <w:rsid w:val="00BA7897"/>
    <w:rsid w:val="00BE646D"/>
    <w:rsid w:val="00CA3158"/>
    <w:rsid w:val="00CC2725"/>
    <w:rsid w:val="00D06B25"/>
    <w:rsid w:val="00D34533"/>
    <w:rsid w:val="00DE7DD2"/>
    <w:rsid w:val="00E125DD"/>
    <w:rsid w:val="00E24377"/>
    <w:rsid w:val="00EC64CA"/>
    <w:rsid w:val="00ED090E"/>
    <w:rsid w:val="00EE1909"/>
    <w:rsid w:val="00F23DA8"/>
    <w:rsid w:val="00F4253B"/>
    <w:rsid w:val="00F9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3A1767"/>
  <w15:docId w15:val="{FC39B483-84E5-42E6-A218-546694A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59ED"/>
  </w:style>
  <w:style w:type="paragraph" w:styleId="ListParagraph">
    <w:name w:val="List Paragraph"/>
    <w:basedOn w:val="Normal"/>
    <w:uiPriority w:val="34"/>
    <w:qFormat/>
    <w:rsid w:val="00733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5</cp:revision>
  <dcterms:created xsi:type="dcterms:W3CDTF">2022-06-22T20:31:00Z</dcterms:created>
  <dcterms:modified xsi:type="dcterms:W3CDTF">2025-07-21T14:20:00Z</dcterms:modified>
</cp:coreProperties>
</file>