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624" w:rsidRPr="004F2CF8" w:rsidRDefault="00AF6624" w:rsidP="00E10049"/>
    <w:p w:rsidR="003A2D00" w:rsidRPr="004F2CF8" w:rsidRDefault="003A2D00" w:rsidP="00E10049">
      <w:pPr>
        <w:rPr>
          <w:b/>
        </w:rPr>
      </w:pPr>
      <w:r w:rsidRPr="004F2CF8">
        <w:rPr>
          <w:b/>
        </w:rPr>
        <w:t>Section 1905.60</w:t>
      </w:r>
      <w:r w:rsidR="0076465F">
        <w:rPr>
          <w:b/>
        </w:rPr>
        <w:t xml:space="preserve"> </w:t>
      </w:r>
      <w:r>
        <w:rPr>
          <w:b/>
        </w:rPr>
        <w:t xml:space="preserve"> </w:t>
      </w:r>
      <w:r w:rsidR="00FD30D9">
        <w:rPr>
          <w:b/>
        </w:rPr>
        <w:t>Risk Assessment</w:t>
      </w:r>
    </w:p>
    <w:p w:rsidR="003A2D00" w:rsidRPr="004F2CF8" w:rsidRDefault="003A2D00" w:rsidP="00E10049"/>
    <w:p w:rsidR="005C3CEE" w:rsidRDefault="005C3CEE" w:rsidP="0052392C">
      <w:pPr>
        <w:rPr>
          <w:bCs/>
          <w:color w:val="000000" w:themeColor="text1"/>
        </w:rPr>
      </w:pPr>
      <w:r w:rsidRPr="005C3CEE">
        <w:rPr>
          <w:bCs/>
          <w:color w:val="000000" w:themeColor="text1"/>
        </w:rPr>
        <w:t xml:space="preserve">Evaluators shall appreciate the potential weight of general and sexual abuser-specific risk assessments across various criminal justice-related and civil contests and the associated implications </w:t>
      </w:r>
      <w:r w:rsidR="006F3A4F">
        <w:rPr>
          <w:bCs/>
          <w:color w:val="000000" w:themeColor="text1"/>
        </w:rPr>
        <w:t>(</w:t>
      </w:r>
      <w:r w:rsidRPr="005C3CEE">
        <w:rPr>
          <w:bCs/>
          <w:color w:val="000000" w:themeColor="text1"/>
        </w:rPr>
        <w:t>not only for community safety, but also for the potential impact on the client</w:t>
      </w:r>
      <w:r w:rsidR="00A61B5B">
        <w:rPr>
          <w:bCs/>
          <w:color w:val="000000" w:themeColor="text1"/>
        </w:rPr>
        <w:t>'</w:t>
      </w:r>
      <w:r w:rsidRPr="005C3CEE">
        <w:rPr>
          <w:bCs/>
          <w:color w:val="000000" w:themeColor="text1"/>
        </w:rPr>
        <w:t>s civil liberties</w:t>
      </w:r>
      <w:r w:rsidR="006F3A4F">
        <w:rPr>
          <w:bCs/>
          <w:color w:val="000000" w:themeColor="text1"/>
        </w:rPr>
        <w:t>)</w:t>
      </w:r>
      <w:r w:rsidRPr="005C3CEE">
        <w:rPr>
          <w:bCs/>
          <w:color w:val="000000" w:themeColor="text1"/>
        </w:rPr>
        <w:t xml:space="preserve"> and the critical need to ensure reliable and valid findings.</w:t>
      </w:r>
    </w:p>
    <w:p w:rsidR="00443A6D" w:rsidRPr="005C3CEE" w:rsidRDefault="00443A6D" w:rsidP="00E10049">
      <w:pPr>
        <w:ind w:left="1440" w:hanging="720"/>
        <w:rPr>
          <w:bCs/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a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 xml:space="preserve">Evaluators clarify the specific purpose for conducting a risk assessment on a given client and the way in which </w:t>
      </w:r>
      <w:r w:rsidR="006F3A4F">
        <w:rPr>
          <w:color w:val="000000" w:themeColor="text1"/>
        </w:rPr>
        <w:t>that</w:t>
      </w:r>
      <w:r w:rsidR="005C3CEE" w:rsidRPr="005C3CEE">
        <w:rPr>
          <w:color w:val="000000" w:themeColor="text1"/>
        </w:rPr>
        <w:t xml:space="preserve"> information will be used, and articulate this in communications regarding the findings.</w:t>
      </w:r>
    </w:p>
    <w:p w:rsidR="00443A6D" w:rsidRPr="005C3CEE" w:rsidRDefault="00443A6D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b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 xml:space="preserve">Evaluators conducting risk assessments on sexual abusers are well versed in the contemporary research regarding static and dynamic factors linked to recidivism among sexual abusers.  </w:t>
      </w:r>
      <w:r w:rsidR="006F3A4F">
        <w:rPr>
          <w:color w:val="000000" w:themeColor="text1"/>
        </w:rPr>
        <w:t>T</w:t>
      </w:r>
      <w:r w:rsidR="005C3CEE" w:rsidRPr="005C3CEE">
        <w:rPr>
          <w:color w:val="000000" w:themeColor="text1"/>
        </w:rPr>
        <w:t>hese variables fall into the following categories:</w:t>
      </w:r>
    </w:p>
    <w:p w:rsidR="00443A6D" w:rsidRPr="005C3CEE" w:rsidRDefault="00443A6D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Criminal history (e.g., prior arrests, convictions);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pStyle w:val="ListParagraph"/>
        <w:spacing w:after="0" w:line="24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Victim-related variables (e.g., age, gender, relationship);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Sexual deviancy (e.g., offense-re</w:t>
      </w:r>
      <w:r w:rsidR="006F3A4F">
        <w:rPr>
          <w:rFonts w:ascii="Times New Roman" w:hAnsi="Times New Roman" w:cs="Times New Roman"/>
          <w:color w:val="000000" w:themeColor="text1"/>
          <w:sz w:val="24"/>
          <w:szCs w:val="24"/>
        </w:rPr>
        <w:t>lated sexual arousal, interests</w:t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and/or preferences; sexual preoccupation);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Antisocial orientation (e</w:t>
      </w:r>
      <w:r w:rsidR="006F3A4F">
        <w:rPr>
          <w:rFonts w:ascii="Times New Roman" w:hAnsi="Times New Roman" w:cs="Times New Roman"/>
          <w:color w:val="000000" w:themeColor="text1"/>
          <w:sz w:val="24"/>
          <w:szCs w:val="24"/>
        </w:rPr>
        <w:t>.g., criminal attitudes, values</w:t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behaviors; lifestyle instability);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Intimacy and relationship deficits (e.g., problems with intimacy, unstable relationships, conflictual intimate relationships, deficits in social support and interaction); and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pStyle w:val="ListParagraph"/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443A6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C3CEE" w:rsidRPr="005C3CEE">
        <w:rPr>
          <w:rFonts w:ascii="Times New Roman" w:hAnsi="Times New Roman" w:cs="Times New Roman"/>
          <w:color w:val="000000" w:themeColor="text1"/>
          <w:sz w:val="24"/>
          <w:szCs w:val="24"/>
        </w:rPr>
        <w:t>Self-regulation difficulties (e.g., hostility, substance abuse, impulsivity, access to victims).</w:t>
      </w:r>
    </w:p>
    <w:p w:rsidR="00443A6D" w:rsidRPr="005C3CEE" w:rsidRDefault="00443A6D" w:rsidP="00E10049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c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 xml:space="preserve">Evaluators conducting risk assessments of sexual abusers use empirically supported instruments and methods (i.e., validated actuarial risk assessment tools and structured, empirically guided risk assessment protocols) over unstructured clinical judgment. </w:t>
      </w:r>
    </w:p>
    <w:p w:rsidR="00A61B5B" w:rsidRPr="005C3CEE" w:rsidRDefault="00A61B5B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d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>Evaluators conducting risk assessments of sexual abusers are appropriately trained in scoring, interpreting effectively and accurately reporting, and applying the findings of the risk assessment instruments/protocols employed.</w:t>
      </w:r>
    </w:p>
    <w:p w:rsidR="00A61B5B" w:rsidRPr="005C3CEE" w:rsidRDefault="00A61B5B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lastRenderedPageBreak/>
        <w:t>e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 xml:space="preserve">Evaluators recognize the potential for both sexual and </w:t>
      </w:r>
      <w:r w:rsidR="006F3A4F">
        <w:rPr>
          <w:color w:val="000000" w:themeColor="text1"/>
        </w:rPr>
        <w:t>non</w:t>
      </w:r>
      <w:r w:rsidR="005C3CEE" w:rsidRPr="005C3CEE">
        <w:rPr>
          <w:color w:val="000000" w:themeColor="text1"/>
        </w:rPr>
        <w:t>sexual recidivism among sexual abusers and clarify the type of recidivism risk assessed in the report or other statements of findings.</w:t>
      </w:r>
    </w:p>
    <w:p w:rsidR="00A61B5B" w:rsidRPr="005C3CEE" w:rsidRDefault="00A61B5B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f)</w:t>
      </w:r>
      <w:r w:rsidR="005C3CEE" w:rsidRPr="005C3CEE">
        <w:rPr>
          <w:color w:val="000000" w:themeColor="text1"/>
        </w:rPr>
        <w:tab/>
        <w:t xml:space="preserve">Evaluators are aware of the relative strengths and limitations of the risk assessment measures/methods employed, reference these issues when communicating risk assessment findings, and ensure that statements about the findings remain within the scope/capability of these measures (e.g., </w:t>
      </w:r>
      <w:r w:rsidR="006F3A4F">
        <w:rPr>
          <w:color w:val="000000" w:themeColor="text1"/>
        </w:rPr>
        <w:t>refraining from making absolute judgements</w:t>
      </w:r>
      <w:r w:rsidR="005C3CEE" w:rsidRPr="005C3CEE">
        <w:rPr>
          <w:color w:val="000000" w:themeColor="text1"/>
        </w:rPr>
        <w:t xml:space="preserve"> about whether a given sexual abuser will or will not recidivate).</w:t>
      </w:r>
    </w:p>
    <w:p w:rsidR="00A61B5B" w:rsidRPr="005C3CEE" w:rsidRDefault="00A61B5B" w:rsidP="00E10049">
      <w:pPr>
        <w:ind w:left="2160" w:hanging="720"/>
        <w:rPr>
          <w:color w:val="000000" w:themeColor="text1"/>
        </w:rPr>
      </w:pPr>
    </w:p>
    <w:p w:rsidR="005C3CEE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g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>Evaluators ensure that any communications about a given client</w:t>
      </w:r>
      <w:r w:rsidR="00A61B5B">
        <w:rPr>
          <w:color w:val="000000" w:themeColor="text1"/>
        </w:rPr>
        <w:t>'</w:t>
      </w:r>
      <w:r w:rsidR="005C3CEE" w:rsidRPr="005C3CEE">
        <w:rPr>
          <w:color w:val="000000" w:themeColor="text1"/>
        </w:rPr>
        <w:t>s recidivism risk are based on current and reliable assessment data about that person.</w:t>
      </w:r>
    </w:p>
    <w:p w:rsidR="00A61B5B" w:rsidRPr="005C3CEE" w:rsidRDefault="00A61B5B" w:rsidP="00E10049">
      <w:pPr>
        <w:ind w:left="2160" w:hanging="720"/>
        <w:rPr>
          <w:color w:val="000000" w:themeColor="text1"/>
        </w:rPr>
      </w:pPr>
    </w:p>
    <w:p w:rsidR="00864C4E" w:rsidRPr="0076465F" w:rsidRDefault="0052392C" w:rsidP="0052392C">
      <w:pPr>
        <w:ind w:left="1440" w:hanging="720"/>
        <w:rPr>
          <w:color w:val="000000" w:themeColor="text1"/>
        </w:rPr>
      </w:pPr>
      <w:r>
        <w:rPr>
          <w:color w:val="000000" w:themeColor="text1"/>
        </w:rPr>
        <w:t>h</w:t>
      </w:r>
      <w:r w:rsidR="005C3CEE" w:rsidRPr="005C3CEE">
        <w:rPr>
          <w:color w:val="000000" w:themeColor="text1"/>
        </w:rPr>
        <w:t>)</w:t>
      </w:r>
      <w:r w:rsidR="005C3CEE" w:rsidRPr="005C3CEE">
        <w:rPr>
          <w:color w:val="000000" w:themeColor="text1"/>
        </w:rPr>
        <w:tab/>
        <w:t xml:space="preserve">Evaluators appreciate that recidivism risk is not static and may change as a result </w:t>
      </w:r>
      <w:bookmarkStart w:id="0" w:name="_GoBack"/>
      <w:bookmarkEnd w:id="0"/>
      <w:r w:rsidR="005C3CEE" w:rsidRPr="005C3CEE">
        <w:rPr>
          <w:color w:val="000000" w:themeColor="text1"/>
        </w:rPr>
        <w:t>o</w:t>
      </w:r>
      <w:r w:rsidR="006F3A4F">
        <w:rPr>
          <w:color w:val="000000" w:themeColor="text1"/>
        </w:rPr>
        <w:t>f interventions, client actions</w:t>
      </w:r>
      <w:r w:rsidR="005C3CEE" w:rsidRPr="005C3CEE">
        <w:rPr>
          <w:color w:val="000000" w:themeColor="text1"/>
        </w:rPr>
        <w:t xml:space="preserve"> or other</w:t>
      </w:r>
      <w:r w:rsidR="006F3A4F">
        <w:rPr>
          <w:color w:val="000000" w:themeColor="text1"/>
        </w:rPr>
        <w:t xml:space="preserve"> circumstances and, therefore, e</w:t>
      </w:r>
      <w:r w:rsidR="005C3CEE" w:rsidRPr="005C3CEE">
        <w:rPr>
          <w:color w:val="000000" w:themeColor="text1"/>
        </w:rPr>
        <w:t>valuators conducting ri</w:t>
      </w:r>
      <w:r w:rsidR="006F3A4F">
        <w:rPr>
          <w:color w:val="000000" w:themeColor="text1"/>
        </w:rPr>
        <w:t>sk assessments employ research-</w:t>
      </w:r>
      <w:r w:rsidR="005C3CEE" w:rsidRPr="005C3CEE">
        <w:rPr>
          <w:color w:val="000000" w:themeColor="text1"/>
        </w:rPr>
        <w:t>supported methods of assessing dynamic risk factors as warranted over time.</w:t>
      </w:r>
    </w:p>
    <w:sectPr w:rsidR="00864C4E" w:rsidRPr="0076465F" w:rsidSect="0014640C">
      <w:pgSz w:w="12240" w:h="15840" w:code="1"/>
      <w:pgMar w:top="1440" w:right="1440" w:bottom="1440" w:left="1440" w:header="1440" w:footer="1440" w:gutter="0"/>
      <w:cols w:space="720"/>
      <w:noEndnote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16CF" w:rsidRDefault="00B2410E">
      <w:r>
        <w:separator/>
      </w:r>
    </w:p>
  </w:endnote>
  <w:endnote w:type="continuationSeparator" w:id="0">
    <w:p w:rsidR="003916CF" w:rsidRDefault="00B2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16CF" w:rsidRDefault="00B2410E">
      <w:r>
        <w:separator/>
      </w:r>
    </w:p>
  </w:footnote>
  <w:footnote w:type="continuationSeparator" w:id="0">
    <w:p w:rsidR="003916CF" w:rsidRDefault="00B2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464C5"/>
    <w:multiLevelType w:val="hybridMultilevel"/>
    <w:tmpl w:val="559EFD88"/>
    <w:lvl w:ilvl="0" w:tplc="743EEEBA">
      <w:start w:val="1"/>
      <w:numFmt w:val="upperLetter"/>
      <w:lvlText w:val="%1)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60D39"/>
    <w:rsid w:val="001C7D95"/>
    <w:rsid w:val="001E3074"/>
    <w:rsid w:val="00225354"/>
    <w:rsid w:val="002524EC"/>
    <w:rsid w:val="002A643F"/>
    <w:rsid w:val="00337CEB"/>
    <w:rsid w:val="00367A2E"/>
    <w:rsid w:val="003916CF"/>
    <w:rsid w:val="003951B7"/>
    <w:rsid w:val="003A2D00"/>
    <w:rsid w:val="003C444F"/>
    <w:rsid w:val="003F3A28"/>
    <w:rsid w:val="003F5FD7"/>
    <w:rsid w:val="00403583"/>
    <w:rsid w:val="00431CFE"/>
    <w:rsid w:val="00443A6D"/>
    <w:rsid w:val="004461A1"/>
    <w:rsid w:val="00453ABA"/>
    <w:rsid w:val="00465031"/>
    <w:rsid w:val="00466B3C"/>
    <w:rsid w:val="0048088B"/>
    <w:rsid w:val="004D5CD6"/>
    <w:rsid w:val="004D73D3"/>
    <w:rsid w:val="005001C5"/>
    <w:rsid w:val="0052308E"/>
    <w:rsid w:val="0052392C"/>
    <w:rsid w:val="00530BE1"/>
    <w:rsid w:val="00531610"/>
    <w:rsid w:val="00536F02"/>
    <w:rsid w:val="00542E97"/>
    <w:rsid w:val="0056157E"/>
    <w:rsid w:val="0056501E"/>
    <w:rsid w:val="005C3CEE"/>
    <w:rsid w:val="005F4571"/>
    <w:rsid w:val="006A2114"/>
    <w:rsid w:val="006D5961"/>
    <w:rsid w:val="006F3A4F"/>
    <w:rsid w:val="006F78C1"/>
    <w:rsid w:val="0076465F"/>
    <w:rsid w:val="00780733"/>
    <w:rsid w:val="007C14B2"/>
    <w:rsid w:val="007C52B4"/>
    <w:rsid w:val="00801D20"/>
    <w:rsid w:val="00825C45"/>
    <w:rsid w:val="008271B1"/>
    <w:rsid w:val="00837AAB"/>
    <w:rsid w:val="00837F88"/>
    <w:rsid w:val="0084781C"/>
    <w:rsid w:val="00864C4E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1B5B"/>
    <w:rsid w:val="00A62A40"/>
    <w:rsid w:val="00A62F7E"/>
    <w:rsid w:val="00A96B5E"/>
    <w:rsid w:val="00AB29C6"/>
    <w:rsid w:val="00AE1744"/>
    <w:rsid w:val="00AE5547"/>
    <w:rsid w:val="00AF6624"/>
    <w:rsid w:val="00B07E7E"/>
    <w:rsid w:val="00B22D8F"/>
    <w:rsid w:val="00B2410E"/>
    <w:rsid w:val="00B31598"/>
    <w:rsid w:val="00B35D67"/>
    <w:rsid w:val="00B516F7"/>
    <w:rsid w:val="00B66925"/>
    <w:rsid w:val="00B679E1"/>
    <w:rsid w:val="00B71177"/>
    <w:rsid w:val="00B876EC"/>
    <w:rsid w:val="00BF5EF1"/>
    <w:rsid w:val="00C4537A"/>
    <w:rsid w:val="00C94794"/>
    <w:rsid w:val="00CC13F9"/>
    <w:rsid w:val="00CD3723"/>
    <w:rsid w:val="00D2075D"/>
    <w:rsid w:val="00D55B37"/>
    <w:rsid w:val="00D62188"/>
    <w:rsid w:val="00D735B8"/>
    <w:rsid w:val="00D93C67"/>
    <w:rsid w:val="00E10049"/>
    <w:rsid w:val="00E45497"/>
    <w:rsid w:val="00E7288E"/>
    <w:rsid w:val="00EB424E"/>
    <w:rsid w:val="00F43DEE"/>
    <w:rsid w:val="00FB1E43"/>
    <w:rsid w:val="00FD30D9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6B8179-9843-4A68-8C4B-EB91C38D6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0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5C3C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Lane, Arlene L.</cp:lastModifiedBy>
  <cp:revision>13</cp:revision>
  <dcterms:created xsi:type="dcterms:W3CDTF">2012-06-22T00:16:00Z</dcterms:created>
  <dcterms:modified xsi:type="dcterms:W3CDTF">2015-10-16T17:40:00Z</dcterms:modified>
</cp:coreProperties>
</file>