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AC" w:rsidRDefault="00FF2EAC" w:rsidP="00FF2EAC">
      <w:pPr>
        <w:widowControl w:val="0"/>
        <w:autoSpaceDE w:val="0"/>
        <w:autoSpaceDN w:val="0"/>
        <w:adjustRightInd w:val="0"/>
      </w:pPr>
      <w:bookmarkStart w:id="0" w:name="_GoBack"/>
      <w:bookmarkEnd w:id="0"/>
    </w:p>
    <w:p w:rsidR="00FF2EAC" w:rsidRDefault="00FF2EAC" w:rsidP="00FF2EAC">
      <w:pPr>
        <w:widowControl w:val="0"/>
        <w:autoSpaceDE w:val="0"/>
        <w:autoSpaceDN w:val="0"/>
        <w:adjustRightInd w:val="0"/>
      </w:pPr>
      <w:r>
        <w:rPr>
          <w:b/>
          <w:bCs/>
        </w:rPr>
        <w:t>Section 1810.1020  Termination</w:t>
      </w:r>
      <w:r>
        <w:t xml:space="preserve"> </w:t>
      </w:r>
    </w:p>
    <w:p w:rsidR="00FF2EAC" w:rsidRDefault="00FF2EAC" w:rsidP="00FF2EAC">
      <w:pPr>
        <w:widowControl w:val="0"/>
        <w:autoSpaceDE w:val="0"/>
        <w:autoSpaceDN w:val="0"/>
        <w:adjustRightInd w:val="0"/>
      </w:pPr>
    </w:p>
    <w:p w:rsidR="00FF2EAC" w:rsidRDefault="00FF2EAC" w:rsidP="00FF2EAC">
      <w:pPr>
        <w:widowControl w:val="0"/>
        <w:autoSpaceDE w:val="0"/>
        <w:autoSpaceDN w:val="0"/>
        <w:adjustRightInd w:val="0"/>
      </w:pPr>
      <w:r>
        <w:t xml:space="preserve">The Executive Director shall immediately terminate any award agreement for any reason of noncompliance specified in Section 1810.1000 above, if performance of the agreement has been suspended on at least one prior occasion or if such noncompliance cannot be corrected by the implementing entity within 28 calendar days from the date of suspension.  Written notice of such termination by the Executive Director shall be submitted to the implementing entity and members of the Council as soon as possible, but within seven calendar days. </w:t>
      </w:r>
    </w:p>
    <w:sectPr w:rsidR="00FF2EAC" w:rsidSect="00FF2E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EAC"/>
    <w:rsid w:val="002A70FD"/>
    <w:rsid w:val="0040320C"/>
    <w:rsid w:val="005C3366"/>
    <w:rsid w:val="00A531CB"/>
    <w:rsid w:val="00FF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