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AE" w:rsidRDefault="008D1EAE" w:rsidP="008D1EAE">
      <w:pPr>
        <w:widowControl w:val="0"/>
        <w:autoSpaceDE w:val="0"/>
        <w:autoSpaceDN w:val="0"/>
        <w:adjustRightInd w:val="0"/>
      </w:pPr>
      <w:bookmarkStart w:id="0" w:name="_GoBack"/>
      <w:bookmarkEnd w:id="0"/>
    </w:p>
    <w:p w:rsidR="008D1EAE" w:rsidRDefault="008D1EAE" w:rsidP="008D1EAE">
      <w:pPr>
        <w:widowControl w:val="0"/>
        <w:autoSpaceDE w:val="0"/>
        <w:autoSpaceDN w:val="0"/>
        <w:adjustRightInd w:val="0"/>
      </w:pPr>
      <w:r>
        <w:rPr>
          <w:b/>
          <w:bCs/>
        </w:rPr>
        <w:t>Section 1810.1000  Suspension</w:t>
      </w:r>
      <w:r>
        <w:t xml:space="preserve"> </w:t>
      </w:r>
    </w:p>
    <w:p w:rsidR="008D1EAE" w:rsidRDefault="008D1EAE" w:rsidP="008D1EAE">
      <w:pPr>
        <w:widowControl w:val="0"/>
        <w:autoSpaceDE w:val="0"/>
        <w:autoSpaceDN w:val="0"/>
        <w:adjustRightInd w:val="0"/>
      </w:pPr>
    </w:p>
    <w:p w:rsidR="008D1EAE" w:rsidRDefault="008D1EAE" w:rsidP="008D1EAE">
      <w:pPr>
        <w:widowControl w:val="0"/>
        <w:autoSpaceDE w:val="0"/>
        <w:autoSpaceDN w:val="0"/>
        <w:adjustRightInd w:val="0"/>
      </w:pPr>
      <w:r>
        <w:t xml:space="preserve">Notwithstanding Section 1810.1010 below, the Executive Director shall suspend performance of any award agreement for a period not to exceed 28 calendar days when there has been a determination of noncompliance with any State or federal statute, rule or regulation, or with guidelines specified in the award agreement.  The Executive Director shall reinstate performance of an agreement that has been so suspended if the noncompliance is corrected within 28 calendar days from the date of suspension. However, notwithstanding Section 1810.1010 below, an award agreement, for which performance has been suspended, shall be terminated by the Executive Director if performance of the award agreement is not reinstated within 28 calendar days from its suspension. Written notice of all such actions by the Executive Director shall be submitted to the implementing entity and members of the Council as soon as possible, but within seven calendar days. </w:t>
      </w:r>
    </w:p>
    <w:sectPr w:rsidR="008D1EAE" w:rsidSect="008D1E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EAE"/>
    <w:rsid w:val="005C3366"/>
    <w:rsid w:val="008D1EAE"/>
    <w:rsid w:val="009C7658"/>
    <w:rsid w:val="00DE4521"/>
    <w:rsid w:val="00E6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