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25" w:rsidRDefault="00A11625" w:rsidP="00A116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1625" w:rsidRDefault="00A11625" w:rsidP="00A11625">
      <w:pPr>
        <w:widowControl w:val="0"/>
        <w:autoSpaceDE w:val="0"/>
        <w:autoSpaceDN w:val="0"/>
        <w:adjustRightInd w:val="0"/>
        <w:jc w:val="center"/>
      </w:pPr>
      <w:r>
        <w:t>SUBPART G:  IMPLEMENTING ENTITY REPORTING REQUIREMENTS</w:t>
      </w:r>
    </w:p>
    <w:sectPr w:rsidR="00A11625" w:rsidSect="00A116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1625"/>
    <w:rsid w:val="00493832"/>
    <w:rsid w:val="005C3366"/>
    <w:rsid w:val="00A11625"/>
    <w:rsid w:val="00D63D2B"/>
    <w:rsid w:val="00DD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IMPLEMENTING ENTITY REPORTING REQUIREMENTS</vt:lpstr>
    </vt:vector>
  </TitlesOfParts>
  <Company>General Assembly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IMPLEMENTING ENTITY REPORTING REQUIREMENTS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