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86" w:rsidRDefault="00206B86" w:rsidP="00206B86">
      <w:pPr>
        <w:widowControl w:val="0"/>
        <w:autoSpaceDE w:val="0"/>
        <w:autoSpaceDN w:val="0"/>
        <w:adjustRightInd w:val="0"/>
      </w:pPr>
      <w:bookmarkStart w:id="0" w:name="_GoBack"/>
      <w:bookmarkEnd w:id="0"/>
    </w:p>
    <w:p w:rsidR="00206B86" w:rsidRDefault="00206B86" w:rsidP="00206B86">
      <w:pPr>
        <w:widowControl w:val="0"/>
        <w:autoSpaceDE w:val="0"/>
        <w:autoSpaceDN w:val="0"/>
        <w:adjustRightInd w:val="0"/>
      </w:pPr>
      <w:r>
        <w:rPr>
          <w:b/>
          <w:bCs/>
        </w:rPr>
        <w:t>Section 1810.550  Indirect Costs</w:t>
      </w:r>
      <w:r>
        <w:t xml:space="preserve"> </w:t>
      </w:r>
    </w:p>
    <w:p w:rsidR="00206B86" w:rsidRDefault="00206B86" w:rsidP="00206B86">
      <w:pPr>
        <w:widowControl w:val="0"/>
        <w:autoSpaceDE w:val="0"/>
        <w:autoSpaceDN w:val="0"/>
        <w:adjustRightInd w:val="0"/>
      </w:pPr>
    </w:p>
    <w:p w:rsidR="00206B86" w:rsidRDefault="00206B86" w:rsidP="00206B86">
      <w:pPr>
        <w:widowControl w:val="0"/>
        <w:autoSpaceDE w:val="0"/>
        <w:autoSpaceDN w:val="0"/>
        <w:adjustRightInd w:val="0"/>
      </w:pPr>
      <w:r>
        <w:t xml:space="preserve">The Council shall not provide implementing entities funds for the indirect costs of an award agreement.  The intent of this policy is to achieve broader and more concentrated application of Trust Funds to direct program costs and funded activities. </w:t>
      </w:r>
    </w:p>
    <w:sectPr w:rsidR="00206B86" w:rsidSect="00206B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6B86"/>
    <w:rsid w:val="00206B86"/>
    <w:rsid w:val="00355385"/>
    <w:rsid w:val="005C3366"/>
    <w:rsid w:val="00B2055D"/>
    <w:rsid w:val="00E1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