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05D" w:rsidRDefault="005A005D" w:rsidP="005A00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005D" w:rsidRDefault="005A005D" w:rsidP="005A005D">
      <w:pPr>
        <w:widowControl w:val="0"/>
        <w:autoSpaceDE w:val="0"/>
        <w:autoSpaceDN w:val="0"/>
        <w:adjustRightInd w:val="0"/>
      </w:pPr>
      <w:r>
        <w:t xml:space="preserve">AUTHORITY:  Implementing Section 5 and authorized by Section 3 of the Intergovernmental Law Enforcement Officer's In-Service Training Act (Ill. Rev. Stat. 1981, ch. 85, pars. 565, and 563). </w:t>
      </w:r>
    </w:p>
    <w:sectPr w:rsidR="005A005D" w:rsidSect="005A00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005D"/>
    <w:rsid w:val="00102A22"/>
    <w:rsid w:val="00574739"/>
    <w:rsid w:val="005A005D"/>
    <w:rsid w:val="005C3366"/>
    <w:rsid w:val="00E2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 and authorized by Section 3 of the Intergovernmental Law Enforcement Officer's In-Service T</vt:lpstr>
    </vt:vector>
  </TitlesOfParts>
  <Company>State of Illinois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 and authorized by Section 3 of the Intergovernmental Law Enforcement Officer's In-Service T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