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17" w:rsidRDefault="00832C17" w:rsidP="00D369E6">
      <w:pPr>
        <w:rPr>
          <w:b/>
        </w:rPr>
      </w:pPr>
      <w:bookmarkStart w:id="0" w:name="_GoBack"/>
      <w:bookmarkEnd w:id="0"/>
    </w:p>
    <w:p w:rsidR="00D369E6" w:rsidRPr="00D369E6" w:rsidRDefault="00D369E6" w:rsidP="00D369E6">
      <w:r w:rsidRPr="00D369E6">
        <w:rPr>
          <w:b/>
        </w:rPr>
        <w:t>Section 1725.206  Drug Testing</w:t>
      </w:r>
    </w:p>
    <w:p w:rsidR="00D369E6" w:rsidRPr="00D369E6" w:rsidRDefault="00D369E6" w:rsidP="00D369E6"/>
    <w:p w:rsidR="00D369E6" w:rsidRPr="00D369E6" w:rsidRDefault="00D369E6" w:rsidP="00D369E6">
      <w:r w:rsidRPr="00D369E6">
        <w:t>A person must meet the necessary laboratory levels and criteria prescribed by the Department</w:t>
      </w:r>
      <w:r w:rsidR="00832C17">
        <w:t xml:space="preserve"> </w:t>
      </w:r>
      <w:r w:rsidRPr="00D369E6">
        <w:t xml:space="preserve">of Public Health.  </w:t>
      </w:r>
    </w:p>
    <w:sectPr w:rsidR="00D369E6" w:rsidRPr="00D369E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392" w:rsidRDefault="000A0392">
      <w:r>
        <w:separator/>
      </w:r>
    </w:p>
  </w:endnote>
  <w:endnote w:type="continuationSeparator" w:id="0">
    <w:p w:rsidR="000A0392" w:rsidRDefault="000A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392" w:rsidRDefault="000A0392">
      <w:r>
        <w:separator/>
      </w:r>
    </w:p>
  </w:footnote>
  <w:footnote w:type="continuationSeparator" w:id="0">
    <w:p w:rsidR="000A0392" w:rsidRDefault="000A0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69E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0392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A0A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2C17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9E6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1E6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F5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