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1E" w:rsidRDefault="00730B1E" w:rsidP="00730B1E">
      <w:pPr>
        <w:widowControl w:val="0"/>
        <w:autoSpaceDE w:val="0"/>
        <w:autoSpaceDN w:val="0"/>
        <w:adjustRightInd w:val="0"/>
      </w:pPr>
      <w:bookmarkStart w:id="0" w:name="_GoBack"/>
      <w:bookmarkEnd w:id="0"/>
    </w:p>
    <w:p w:rsidR="00730B1E" w:rsidRDefault="00730B1E" w:rsidP="00730B1E">
      <w:pPr>
        <w:widowControl w:val="0"/>
        <w:autoSpaceDE w:val="0"/>
        <w:autoSpaceDN w:val="0"/>
        <w:adjustRightInd w:val="0"/>
      </w:pPr>
      <w:r>
        <w:rPr>
          <w:b/>
          <w:bCs/>
        </w:rPr>
        <w:t>Section 1700.100  Accounting Reports</w:t>
      </w:r>
      <w:r>
        <w:t xml:space="preserve"> </w:t>
      </w:r>
    </w:p>
    <w:p w:rsidR="00730B1E" w:rsidRDefault="00730B1E" w:rsidP="00730B1E">
      <w:pPr>
        <w:widowControl w:val="0"/>
        <w:autoSpaceDE w:val="0"/>
        <w:autoSpaceDN w:val="0"/>
        <w:adjustRightInd w:val="0"/>
      </w:pPr>
    </w:p>
    <w:p w:rsidR="00730B1E" w:rsidRDefault="00730B1E" w:rsidP="00730B1E">
      <w:pPr>
        <w:widowControl w:val="0"/>
        <w:autoSpaceDE w:val="0"/>
        <w:autoSpaceDN w:val="0"/>
        <w:adjustRightInd w:val="0"/>
      </w:pPr>
      <w:r>
        <w:t xml:space="preserve">Upon written request by the Board, recipient local governmental agencies shall provide an accounting to the Board within 60 days, containing all expenditures incurred for programs funded under these Rules.  In order to test compliance with the requirements of the Act and these Rules, the Board will, on a random basis, investigate the expenditures of programs funded under these Rules. </w:t>
      </w:r>
    </w:p>
    <w:sectPr w:rsidR="00730B1E" w:rsidSect="00730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B1E"/>
    <w:rsid w:val="001A1187"/>
    <w:rsid w:val="005C3366"/>
    <w:rsid w:val="00730B1E"/>
    <w:rsid w:val="00981C11"/>
    <w:rsid w:val="00E2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