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6C60" w14:textId="77777777" w:rsidR="005B1ED7" w:rsidRDefault="005B1ED7" w:rsidP="005B1E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F5E7A" w14:textId="0713DC84" w:rsidR="005B1ED7" w:rsidRDefault="005B1ED7" w:rsidP="005B1E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AUTHORITY:  Implementing and authorized 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15 of the </w:t>
      </w:r>
      <w:r w:rsidRPr="007C099D">
        <w:rPr>
          <w:rFonts w:ascii="Times New Roman" w:eastAsia="Times New Roman" w:hAnsi="Times New Roman" w:cs="Times New Roman"/>
          <w:color w:val="000000"/>
          <w:sz w:val="24"/>
          <w:szCs w:val="24"/>
        </w:rPr>
        <w:t>Violent Crime Witness Protection Act. [725 ILCS 173/15].</w:t>
      </w:r>
    </w:p>
    <w:sectPr w:rsidR="005B1ED7" w:rsidSect="00852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379"/>
    <w:rsid w:val="0018028F"/>
    <w:rsid w:val="00295B82"/>
    <w:rsid w:val="005B1ED7"/>
    <w:rsid w:val="005C3366"/>
    <w:rsid w:val="00724278"/>
    <w:rsid w:val="00852379"/>
    <w:rsid w:val="009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4229AA"/>
  <w15:docId w15:val="{773B3397-25C3-4BEA-9D5A-0FB6B22D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General Assembly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Dotts, Joyce M.</cp:lastModifiedBy>
  <cp:revision>5</cp:revision>
  <dcterms:created xsi:type="dcterms:W3CDTF">2012-06-21T22:49:00Z</dcterms:created>
  <dcterms:modified xsi:type="dcterms:W3CDTF">2023-05-23T14:44:00Z</dcterms:modified>
</cp:coreProperties>
</file>