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E" w:rsidRDefault="00CC0A7E" w:rsidP="00CC0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A7E" w:rsidRDefault="00CC0A7E" w:rsidP="00CC0A7E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Sex Offender Registration Act [730 ILCS 150/4] and authorized by Section </w:t>
      </w:r>
      <w:r w:rsidR="000B1D9C">
        <w:t>2605-35</w:t>
      </w:r>
      <w:r>
        <w:t xml:space="preserve"> of the Civil Administrative Code of Illinois [20 ILCS 2605/</w:t>
      </w:r>
      <w:r w:rsidR="000B1D9C">
        <w:t>2605-35(a)(8)</w:t>
      </w:r>
      <w:r>
        <w:t xml:space="preserve">]. </w:t>
      </w:r>
    </w:p>
    <w:sectPr w:rsidR="00CC0A7E" w:rsidSect="00CC0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A7E"/>
    <w:rsid w:val="000B1D9C"/>
    <w:rsid w:val="005C3366"/>
    <w:rsid w:val="00AA6822"/>
    <w:rsid w:val="00AF4016"/>
    <w:rsid w:val="00CC0A7E"/>
    <w:rsid w:val="00D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Sex Offender Registration Act [730 ILCS 150/4] and authorized by S</vt:lpstr>
    </vt:vector>
  </TitlesOfParts>
  <Company>General Assembly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Sex Offender Registration Act [730 ILCS 150/4] and authorized by S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