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BB" w:rsidRDefault="009F6EBB" w:rsidP="009F6E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F6EBB" w:rsidRDefault="009F6EBB" w:rsidP="009F6EBB">
      <w:pPr>
        <w:widowControl w:val="0"/>
        <w:autoSpaceDE w:val="0"/>
        <w:autoSpaceDN w:val="0"/>
        <w:adjustRightInd w:val="0"/>
      </w:pPr>
      <w:r>
        <w:t xml:space="preserve">SOURCE:  Emergency rules adopted at 20 Ill. Reg. 10390, effective July 19, 1996, for a maximum of 150 days; adopted at 21 Ill. Reg. 1214, effective January 10, 1997. </w:t>
      </w:r>
    </w:p>
    <w:sectPr w:rsidR="009F6EBB" w:rsidSect="009F6E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F6EBB"/>
    <w:rsid w:val="001078F5"/>
    <w:rsid w:val="004E008B"/>
    <w:rsid w:val="005C3366"/>
    <w:rsid w:val="00776E79"/>
    <w:rsid w:val="009F6EBB"/>
    <w:rsid w:val="00A5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20 Ill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20 Ill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