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07" w:rsidRDefault="00750607" w:rsidP="004E31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31D7" w:rsidRDefault="004E31D7" w:rsidP="004E31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1215.50  Fees</w:t>
      </w:r>
      <w:r>
        <w:t xml:space="preserve"> </w:t>
      </w:r>
    </w:p>
    <w:p w:rsidR="004E31D7" w:rsidRDefault="004E31D7" w:rsidP="004E31D7">
      <w:pPr>
        <w:widowControl w:val="0"/>
        <w:autoSpaceDE w:val="0"/>
        <w:autoSpaceDN w:val="0"/>
        <w:adjustRightInd w:val="0"/>
      </w:pPr>
    </w:p>
    <w:p w:rsidR="00A71591" w:rsidRDefault="004E31D7" w:rsidP="004E31D7">
      <w:pPr>
        <w:widowControl w:val="0"/>
        <w:autoSpaceDE w:val="0"/>
        <w:autoSpaceDN w:val="0"/>
        <w:adjustRightInd w:val="0"/>
      </w:pPr>
      <w:r>
        <w:t xml:space="preserve">The </w:t>
      </w:r>
      <w:r w:rsidR="00F06D63">
        <w:t>fees</w:t>
      </w:r>
      <w:r>
        <w:t xml:space="preserve"> for processing requests for conviction information shall be </w:t>
      </w:r>
      <w:r w:rsidR="00A71591">
        <w:t>as follows</w:t>
      </w:r>
      <w:r w:rsidR="00F06D63">
        <w:t>:</w:t>
      </w:r>
      <w:r>
        <w:t xml:space="preserve">  </w:t>
      </w:r>
    </w:p>
    <w:p w:rsidR="00A71591" w:rsidRDefault="00A71591" w:rsidP="004E31D7">
      <w:pPr>
        <w:widowControl w:val="0"/>
        <w:autoSpaceDE w:val="0"/>
        <w:autoSpaceDN w:val="0"/>
        <w:adjustRightInd w:val="0"/>
      </w:pPr>
    </w:p>
    <w:tbl>
      <w:tblPr>
        <w:tblW w:w="0" w:type="auto"/>
        <w:tblInd w:w="906" w:type="dxa"/>
        <w:tblLook w:val="0000" w:firstRow="0" w:lastRow="0" w:firstColumn="0" w:lastColumn="0" w:noHBand="0" w:noVBand="0"/>
      </w:tblPr>
      <w:tblGrid>
        <w:gridCol w:w="5529"/>
        <w:gridCol w:w="2622"/>
        <w:tblGridChange w:id="1">
          <w:tblGrid>
            <w:gridCol w:w="5529"/>
            <w:gridCol w:w="2622"/>
          </w:tblGrid>
        </w:tblGridChange>
      </w:tblGrid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  <w:r>
              <w:t>Uniform Conviction Information Act fingerprint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F06D63" w:rsidP="00A71591">
            <w:pPr>
              <w:widowControl w:val="0"/>
            </w:pPr>
            <w:r>
              <w:t>i</w:t>
            </w:r>
            <w:r w:rsidR="0056611A">
              <w:t>nquiries submitted electronically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  <w:r>
              <w:t xml:space="preserve">$15 per </w:t>
            </w:r>
            <w:r w:rsidR="002849AE">
              <w:t>inquiry</w:t>
            </w: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  <w:r>
              <w:t xml:space="preserve">Uniform Conviction Information Act </w:t>
            </w:r>
            <w:r w:rsidR="00F06D63">
              <w:t>e</w:t>
            </w:r>
            <w:r>
              <w:t>lectronic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F06D63" w:rsidP="00A71591">
            <w:pPr>
              <w:widowControl w:val="0"/>
            </w:pPr>
            <w:r>
              <w:t>n</w:t>
            </w:r>
            <w:r w:rsidR="0056611A">
              <w:t>ame inquiries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  <w:r>
              <w:t>$10 per name</w:t>
            </w: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  <w:r>
              <w:t xml:space="preserve">Uniform </w:t>
            </w:r>
            <w:r w:rsidR="00F06D63">
              <w:t>C</w:t>
            </w:r>
            <w:r>
              <w:t>onviction Information Act name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F06D63" w:rsidP="00A71591">
            <w:pPr>
              <w:widowControl w:val="0"/>
            </w:pPr>
            <w:r>
              <w:t>i</w:t>
            </w:r>
            <w:r w:rsidR="0056611A">
              <w:t>nquiries submitted on paper forms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  <w:r>
              <w:t>$16 per inquiry</w:t>
            </w: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56611A" w:rsidP="00A71591">
            <w:pPr>
              <w:widowControl w:val="0"/>
            </w:pPr>
            <w:r>
              <w:t>Uniform Conviction Information Act fingerprint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</w:p>
        </w:tc>
      </w:tr>
      <w:tr w:rsidR="0056611A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56611A" w:rsidRDefault="00F06D63" w:rsidP="00A71591">
            <w:pPr>
              <w:widowControl w:val="0"/>
            </w:pPr>
            <w:r>
              <w:t>i</w:t>
            </w:r>
            <w:r w:rsidR="0056611A">
              <w:t>nquiries submitted on paper forms</w:t>
            </w:r>
          </w:p>
        </w:tc>
        <w:tc>
          <w:tcPr>
            <w:tcW w:w="2622" w:type="dxa"/>
          </w:tcPr>
          <w:p w:rsidR="0056611A" w:rsidRDefault="0056611A" w:rsidP="00A71591">
            <w:pPr>
              <w:widowControl w:val="0"/>
            </w:pPr>
            <w:r>
              <w:t>$20</w:t>
            </w:r>
            <w:r w:rsidR="00F06D63">
              <w:t xml:space="preserve"> </w:t>
            </w:r>
            <w:r>
              <w:t>per inquiry</w:t>
            </w:r>
          </w:p>
        </w:tc>
      </w:tr>
    </w:tbl>
    <w:p w:rsidR="00A71591" w:rsidRDefault="00A71591" w:rsidP="004E31D7">
      <w:pPr>
        <w:widowControl w:val="0"/>
        <w:autoSpaceDE w:val="0"/>
        <w:autoSpaceDN w:val="0"/>
        <w:adjustRightInd w:val="0"/>
      </w:pPr>
    </w:p>
    <w:p w:rsidR="004E31D7" w:rsidRDefault="004E31D7" w:rsidP="004E31D7">
      <w:pPr>
        <w:widowControl w:val="0"/>
        <w:autoSpaceDE w:val="0"/>
        <w:autoSpaceDN w:val="0"/>
        <w:adjustRightInd w:val="0"/>
      </w:pPr>
      <w:r>
        <w:t xml:space="preserve">The </w:t>
      </w:r>
      <w:r w:rsidR="00A71591">
        <w:t>fees</w:t>
      </w:r>
      <w:r>
        <w:t xml:space="preserve"> shall not exceed the general costs for processing  requests.  The general costs shall include, but are not limited to, personnel, supervision and training, </w:t>
      </w:r>
      <w:r w:rsidR="00A71591">
        <w:t xml:space="preserve">hardware, software, network infrastructure, </w:t>
      </w:r>
      <w:r>
        <w:t xml:space="preserve">telephone, electric, equipment, printing, postage, facilities, forms, and miscellaneous related costs. </w:t>
      </w:r>
    </w:p>
    <w:p w:rsidR="00A71591" w:rsidRDefault="00A71591" w:rsidP="004E31D7">
      <w:pPr>
        <w:widowControl w:val="0"/>
        <w:autoSpaceDE w:val="0"/>
        <w:autoSpaceDN w:val="0"/>
        <w:adjustRightInd w:val="0"/>
      </w:pPr>
    </w:p>
    <w:p w:rsidR="00A71591" w:rsidRPr="00D55B37" w:rsidRDefault="00A715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12AB4">
        <w:t>14346</w:t>
      </w:r>
      <w:r w:rsidRPr="00D55B37">
        <w:t xml:space="preserve">, effective </w:t>
      </w:r>
      <w:r w:rsidR="00312AB4">
        <w:t>September 12, 2005</w:t>
      </w:r>
      <w:r w:rsidRPr="00D55B37">
        <w:t>)</w:t>
      </w:r>
    </w:p>
    <w:sectPr w:rsidR="00A71591" w:rsidRPr="00D55B37" w:rsidSect="004E3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1D7"/>
    <w:rsid w:val="002849AE"/>
    <w:rsid w:val="00312AB4"/>
    <w:rsid w:val="004E31D7"/>
    <w:rsid w:val="0056611A"/>
    <w:rsid w:val="005C3366"/>
    <w:rsid w:val="00750607"/>
    <w:rsid w:val="00751903"/>
    <w:rsid w:val="007C246E"/>
    <w:rsid w:val="008968E0"/>
    <w:rsid w:val="00A71591"/>
    <w:rsid w:val="00E561BB"/>
    <w:rsid w:val="00F06D63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1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