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1F" w:rsidRDefault="009B691F" w:rsidP="009B69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91F" w:rsidRDefault="009B691F" w:rsidP="009B691F">
      <w:pPr>
        <w:widowControl w:val="0"/>
        <w:autoSpaceDE w:val="0"/>
        <w:autoSpaceDN w:val="0"/>
        <w:adjustRightInd w:val="0"/>
        <w:jc w:val="center"/>
      </w:pPr>
      <w:r>
        <w:t>PART 1215</w:t>
      </w:r>
    </w:p>
    <w:p w:rsidR="009B691F" w:rsidRDefault="009B691F" w:rsidP="009B691F">
      <w:pPr>
        <w:widowControl w:val="0"/>
        <w:autoSpaceDE w:val="0"/>
        <w:autoSpaceDN w:val="0"/>
        <w:adjustRightInd w:val="0"/>
        <w:jc w:val="center"/>
      </w:pPr>
      <w:r>
        <w:t>ILLINOIS UNIFORM CONVICTION INFORMATION ACT</w:t>
      </w:r>
    </w:p>
    <w:sectPr w:rsidR="009B691F" w:rsidSect="009B6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91F"/>
    <w:rsid w:val="003B69D5"/>
    <w:rsid w:val="005C3366"/>
    <w:rsid w:val="007E2493"/>
    <w:rsid w:val="009B691F"/>
    <w:rsid w:val="00F64BB7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1215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