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28" w:rsidRDefault="00702328" w:rsidP="00702328">
      <w:pPr>
        <w:rPr>
          <w:rFonts w:ascii="Times New Roman" w:hAnsi="Times New Roman"/>
          <w:b/>
          <w:bCs/>
          <w:sz w:val="24"/>
        </w:rPr>
      </w:pPr>
      <w:bookmarkStart w:id="0" w:name="_GoBack"/>
      <w:bookmarkEnd w:id="0"/>
    </w:p>
    <w:p w:rsidR="00702328" w:rsidRDefault="00702328" w:rsidP="00702328">
      <w:pPr>
        <w:rPr>
          <w:rFonts w:ascii="Times New Roman" w:hAnsi="Times New Roman"/>
          <w:b/>
          <w:bCs/>
          <w:sz w:val="24"/>
        </w:rPr>
      </w:pPr>
      <w:r>
        <w:rPr>
          <w:rFonts w:ascii="Times New Roman" w:hAnsi="Times New Roman"/>
          <w:b/>
          <w:bCs/>
          <w:sz w:val="24"/>
        </w:rPr>
        <w:t xml:space="preserve">Section 800.70 </w:t>
      </w:r>
      <w:r>
        <w:rPr>
          <w:rFonts w:ascii="Times New Roman" w:hAnsi="Times New Roman"/>
          <w:sz w:val="24"/>
        </w:rPr>
        <w:t xml:space="preserve"> </w:t>
      </w:r>
      <w:r>
        <w:rPr>
          <w:rFonts w:ascii="Times New Roman" w:hAnsi="Times New Roman"/>
          <w:b/>
          <w:bCs/>
          <w:sz w:val="24"/>
        </w:rPr>
        <w:t>Application for Licensure</w:t>
      </w:r>
    </w:p>
    <w:p w:rsidR="00702328" w:rsidRPr="00702328" w:rsidRDefault="00702328" w:rsidP="00702328">
      <w:pPr>
        <w:rPr>
          <w:rFonts w:ascii="Times New Roman" w:hAnsi="Times New Roman"/>
          <w:bCs/>
          <w:sz w:val="24"/>
        </w:rPr>
      </w:pPr>
    </w:p>
    <w:p w:rsidR="00702328" w:rsidRDefault="00702328" w:rsidP="00702328">
      <w:pPr>
        <w:spacing w:line="279" w:lineRule="exact"/>
        <w:ind w:left="1440" w:hanging="720"/>
        <w:rPr>
          <w:rFonts w:ascii="Times New Roman" w:hAnsi="Times New Roman"/>
          <w:sz w:val="24"/>
        </w:rPr>
      </w:pPr>
      <w:r>
        <w:rPr>
          <w:rFonts w:ascii="Times New Roman" w:hAnsi="Times New Roman"/>
          <w:sz w:val="24"/>
        </w:rPr>
        <w:t>a)</w:t>
      </w:r>
      <w:r>
        <w:rPr>
          <w:rFonts w:ascii="Times New Roman" w:hAnsi="Times New Roman"/>
          <w:sz w:val="24"/>
        </w:rPr>
        <w:tab/>
        <w:t>An application for a license to operate Transitional Housing for sex offenders who are on parole, probation, or supervision, for renewal of a license, or to relocate a licensed facility shall be completed and signed by the governing body of the facility or its authorized representatives on forms prescribed and furnished by the Department.  Forms are available by sending a written request to:</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rPr>
          <w:rFonts w:ascii="Times New Roman" w:hAnsi="Times New Roman"/>
          <w:sz w:val="24"/>
        </w:rPr>
      </w:pPr>
      <w:r>
        <w:rPr>
          <w:rFonts w:ascii="Times New Roman" w:hAnsi="Times New Roman"/>
          <w:sz w:val="24"/>
        </w:rPr>
        <w:t>Illinois Department of Corrections</w:t>
      </w:r>
    </w:p>
    <w:p w:rsidR="00702328" w:rsidRDefault="00702328" w:rsidP="00702328">
      <w:pPr>
        <w:spacing w:line="279" w:lineRule="exact"/>
        <w:ind w:left="2160"/>
        <w:rPr>
          <w:rFonts w:ascii="Times New Roman" w:hAnsi="Times New Roman"/>
          <w:sz w:val="24"/>
        </w:rPr>
      </w:pPr>
      <w:smartTag w:uri="urn:schemas-microsoft-com:office:smarttags" w:element="Street">
        <w:smartTag w:uri="urn:schemas-microsoft-com:office:smarttags" w:element="address">
          <w:r>
            <w:rPr>
              <w:rFonts w:ascii="Times New Roman" w:hAnsi="Times New Roman"/>
              <w:sz w:val="24"/>
            </w:rPr>
            <w:t>1301 Concordia Court</w:t>
          </w:r>
        </w:smartTag>
      </w:smartTag>
    </w:p>
    <w:p w:rsidR="00702328" w:rsidRDefault="00702328" w:rsidP="00702328">
      <w:pPr>
        <w:spacing w:line="279" w:lineRule="exact"/>
        <w:ind w:left="2160"/>
        <w:rPr>
          <w:rFonts w:ascii="Times New Roman" w:hAnsi="Times New Roman"/>
          <w:sz w:val="24"/>
        </w:rPr>
      </w:pPr>
      <w:smartTag w:uri="urn:schemas-microsoft-com:office:smarttags" w:element="address">
        <w:smartTag w:uri="urn:schemas-microsoft-com:office:smarttags" w:element="Street">
          <w:r>
            <w:rPr>
              <w:rFonts w:ascii="Times New Roman" w:hAnsi="Times New Roman"/>
              <w:sz w:val="24"/>
            </w:rPr>
            <w:t>P. O. Box</w:t>
          </w:r>
        </w:smartTag>
        <w:r>
          <w:rPr>
            <w:rFonts w:ascii="Times New Roman" w:hAnsi="Times New Roman"/>
            <w:sz w:val="24"/>
          </w:rPr>
          <w:t xml:space="preserve"> 19277</w:t>
        </w:r>
      </w:smartTag>
    </w:p>
    <w:p w:rsidR="00702328" w:rsidRDefault="00702328" w:rsidP="00702328">
      <w:pPr>
        <w:spacing w:line="279" w:lineRule="exact"/>
        <w:ind w:left="2160"/>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Springfield</w:t>
          </w:r>
        </w:smartTag>
        <w:r>
          <w:rPr>
            <w:rFonts w:ascii="Times New Roman" w:hAnsi="Times New Roman"/>
            <w:sz w:val="24"/>
          </w:rPr>
          <w:t xml:space="preserve">, </w:t>
        </w:r>
        <w:smartTag w:uri="urn:schemas-microsoft-com:office:smarttags" w:element="State">
          <w:r>
            <w:rPr>
              <w:rFonts w:ascii="Times New Roman" w:hAnsi="Times New Roman"/>
              <w:sz w:val="24"/>
            </w:rPr>
            <w:t>Illinois</w:t>
          </w:r>
        </w:smartTag>
        <w:r>
          <w:rPr>
            <w:rFonts w:ascii="Times New Roman" w:hAnsi="Times New Roman"/>
            <w:sz w:val="24"/>
          </w:rPr>
          <w:t xml:space="preserve"> </w:t>
        </w:r>
        <w:smartTag w:uri="urn:schemas-microsoft-com:office:smarttags" w:element="PostalCode">
          <w:r>
            <w:rPr>
              <w:rFonts w:ascii="Times New Roman" w:hAnsi="Times New Roman"/>
              <w:sz w:val="24"/>
            </w:rPr>
            <w:t>62794-9277</w:t>
          </w:r>
        </w:smartTag>
      </w:smartTag>
    </w:p>
    <w:p w:rsidR="00702328" w:rsidRDefault="00702328" w:rsidP="00702328">
      <w:pPr>
        <w:spacing w:line="279" w:lineRule="exact"/>
        <w:ind w:left="2160"/>
        <w:rPr>
          <w:rFonts w:ascii="Times New Roman" w:hAnsi="Times New Roman"/>
          <w:sz w:val="24"/>
        </w:rPr>
      </w:pPr>
      <w:r>
        <w:rPr>
          <w:rFonts w:ascii="Times New Roman" w:hAnsi="Times New Roman"/>
          <w:sz w:val="24"/>
        </w:rPr>
        <w:t>Attn:  Sex Offender Transitional Housing Licensing Administrator</w:t>
      </w:r>
    </w:p>
    <w:p w:rsidR="00702328" w:rsidRDefault="00702328" w:rsidP="00702328">
      <w:pPr>
        <w:pStyle w:val="BodyTextIndent3"/>
        <w:widowControl w:val="0"/>
        <w:ind w:left="2160" w:firstLine="0"/>
      </w:pPr>
    </w:p>
    <w:p w:rsidR="00702328" w:rsidRDefault="00702328" w:rsidP="00702328">
      <w:pPr>
        <w:ind w:left="1440" w:hanging="720"/>
        <w:rPr>
          <w:rFonts w:ascii="Times New Roman" w:hAnsi="Times New Roman"/>
          <w:sz w:val="24"/>
        </w:rPr>
      </w:pPr>
      <w:r>
        <w:rPr>
          <w:rFonts w:ascii="Times New Roman" w:hAnsi="Times New Roman"/>
          <w:sz w:val="24"/>
        </w:rPr>
        <w:t>b)</w:t>
      </w:r>
      <w:r>
        <w:rPr>
          <w:rFonts w:ascii="Times New Roman" w:hAnsi="Times New Roman"/>
          <w:sz w:val="24"/>
        </w:rPr>
        <w:tab/>
        <w:t>The application shall be signed and dated by the organization representative and at leas</w:t>
      </w:r>
      <w:r w:rsidR="001C03A2">
        <w:rPr>
          <w:rFonts w:ascii="Times New Roman" w:hAnsi="Times New Roman"/>
          <w:sz w:val="24"/>
        </w:rPr>
        <w:t>t</w:t>
      </w:r>
      <w:r>
        <w:rPr>
          <w:rFonts w:ascii="Times New Roman" w:hAnsi="Times New Roman"/>
          <w:sz w:val="24"/>
        </w:rPr>
        <w:t xml:space="preserve"> two of the corporate officers in the case of a corporate applicant, or by all partners or associates in the case of a partnership or association, </w:t>
      </w:r>
      <w:r w:rsidR="001C03A2">
        <w:rPr>
          <w:rFonts w:ascii="Times New Roman" w:hAnsi="Times New Roman"/>
          <w:sz w:val="24"/>
        </w:rPr>
        <w:t xml:space="preserve">shall </w:t>
      </w:r>
      <w:r>
        <w:rPr>
          <w:rFonts w:ascii="Times New Roman" w:hAnsi="Times New Roman"/>
          <w:sz w:val="24"/>
        </w:rPr>
        <w:t xml:space="preserve">be notarized, and </w:t>
      </w:r>
      <w:r w:rsidR="001C03A2">
        <w:rPr>
          <w:rFonts w:ascii="Times New Roman" w:hAnsi="Times New Roman"/>
          <w:sz w:val="24"/>
        </w:rPr>
        <w:t xml:space="preserve">shall </w:t>
      </w:r>
      <w:r>
        <w:rPr>
          <w:rFonts w:ascii="Times New Roman" w:hAnsi="Times New Roman"/>
          <w:sz w:val="24"/>
        </w:rPr>
        <w:t>include the following:</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Articles of incorporation and bylaws, including a statement indicating the facility's corporate status is in good standing with the Illinois Secretary of State and whether the institution is for profit or not-for-profit; or a copy of the entity's partnership agreement; or statement of ownership; or articles of organization; and a list of assumed names under which the entity is doing business, as applicable.   </w:t>
      </w:r>
    </w:p>
    <w:p w:rsidR="00702328" w:rsidRDefault="00702328" w:rsidP="00702328">
      <w:pPr>
        <w:spacing w:line="279" w:lineRule="exact"/>
        <w:rPr>
          <w:rFonts w:ascii="Times New Roman" w:hAnsi="Times New Roman"/>
          <w:b/>
          <w:bCs/>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A statement of purpose and range of services and a general description of the type of security established or to be established.</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3)</w:t>
      </w:r>
      <w:r>
        <w:rPr>
          <w:rFonts w:ascii="Times New Roman" w:hAnsi="Times New Roman"/>
          <w:sz w:val="24"/>
        </w:rPr>
        <w:tab/>
        <w:t xml:space="preserve">The names and addresses of all owners or controlling parties of the organization </w:t>
      </w:r>
      <w:r w:rsidR="00046BB2">
        <w:rPr>
          <w:rFonts w:ascii="Times New Roman" w:hAnsi="Times New Roman"/>
          <w:sz w:val="24"/>
        </w:rPr>
        <w:t xml:space="preserve">and </w:t>
      </w:r>
      <w:r>
        <w:rPr>
          <w:rFonts w:ascii="Times New Roman" w:hAnsi="Times New Roman"/>
          <w:sz w:val="24"/>
        </w:rPr>
        <w:t>whether they are individuals, partnerships, corporate bodies, or subdivisions of other bodies, such as public agencies or religious, fraternal, or other charitable organizations.  In the case of corporations, the names and addresses of all officers, directors, and stockholders owning five percent or more of the stock of the corporation, either beneficial or of record, shall be disclosed.</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4)</w:t>
      </w:r>
      <w:r>
        <w:rPr>
          <w:rFonts w:ascii="Times New Roman" w:hAnsi="Times New Roman"/>
          <w:sz w:val="24"/>
        </w:rPr>
        <w:tab/>
        <w:t>Annual current operating budget and projected budget showing anticipated expenses and income and emergency reserve.</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5)</w:t>
      </w:r>
      <w:r>
        <w:rPr>
          <w:rFonts w:ascii="Times New Roman" w:hAnsi="Times New Roman"/>
          <w:sz w:val="24"/>
        </w:rPr>
        <w:tab/>
        <w:t>Certification of compliance with applicable local building, zoning, health, sanitation, or other safety requirements as specified in federal, State, or local laws</w:t>
      </w:r>
      <w:r w:rsidR="00046BB2">
        <w:rPr>
          <w:rFonts w:ascii="Times New Roman" w:hAnsi="Times New Roman"/>
          <w:sz w:val="24"/>
        </w:rPr>
        <w:t>,</w:t>
      </w:r>
      <w:r>
        <w:rPr>
          <w:rFonts w:ascii="Times New Roman" w:hAnsi="Times New Roman"/>
          <w:sz w:val="24"/>
        </w:rPr>
        <w:t xml:space="preserve"> and with fire safety requirements of the State Fire Marshal. </w:t>
      </w:r>
    </w:p>
    <w:p w:rsidR="00702328" w:rsidRDefault="00702328" w:rsidP="00702328">
      <w:pPr>
        <w:spacing w:line="279" w:lineRule="exact"/>
        <w:ind w:left="2160" w:hanging="720"/>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6)</w:t>
      </w:r>
      <w:r>
        <w:rPr>
          <w:rFonts w:ascii="Times New Roman" w:hAnsi="Times New Roman"/>
          <w:sz w:val="24"/>
        </w:rPr>
        <w:tab/>
        <w:t xml:space="preserve">Proof of fire, hazard, liability and other insurance coverage appropriate to </w:t>
      </w:r>
      <w:r>
        <w:rPr>
          <w:rFonts w:ascii="Times New Roman" w:hAnsi="Times New Roman"/>
          <w:sz w:val="24"/>
        </w:rPr>
        <w:lastRenderedPageBreak/>
        <w:t>the administration of Transitional Housing</w:t>
      </w:r>
      <w:r w:rsidR="00046BB2">
        <w:rPr>
          <w:rFonts w:ascii="Times New Roman" w:hAnsi="Times New Roman"/>
          <w:sz w:val="24"/>
        </w:rPr>
        <w:t>.</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7)</w:t>
      </w:r>
      <w:r>
        <w:rPr>
          <w:rFonts w:ascii="Times New Roman" w:hAnsi="Times New Roman"/>
          <w:sz w:val="24"/>
        </w:rPr>
        <w:tab/>
        <w:t xml:space="preserve">A facility site plan of the proposed site in which the specific use of each building and the specific floor plan and an explanation of the facility locking, lighting, and communication features are included.  All secure doors, windows, and perimeter structures, including fencing and gates, shall be shown. </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8)</w:t>
      </w:r>
      <w:r>
        <w:rPr>
          <w:rFonts w:ascii="Times New Roman" w:hAnsi="Times New Roman"/>
          <w:sz w:val="24"/>
        </w:rPr>
        <w:tab/>
        <w:t>The program and operations plan for Transitional Housing.</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9)</w:t>
      </w:r>
      <w:r>
        <w:rPr>
          <w:rFonts w:ascii="Times New Roman" w:hAnsi="Times New Roman"/>
          <w:sz w:val="24"/>
        </w:rPr>
        <w:tab/>
        <w:t>The staffing plan that provides for continuous supervision and security that includes the number of staff, their minimum qualifications, pre-service orientation and on-going training for staff, and complete job description</w:t>
      </w:r>
      <w:r w:rsidR="00046BB2">
        <w:rPr>
          <w:rFonts w:ascii="Times New Roman" w:hAnsi="Times New Roman"/>
          <w:sz w:val="24"/>
        </w:rPr>
        <w:t>s</w:t>
      </w:r>
      <w:r>
        <w:rPr>
          <w:rFonts w:ascii="Times New Roman" w:hAnsi="Times New Roman"/>
          <w:sz w:val="24"/>
        </w:rPr>
        <w:t xml:space="preserve"> and job titles. </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828"/>
        <w:rPr>
          <w:rFonts w:ascii="Times New Roman" w:hAnsi="Times New Roman"/>
          <w:sz w:val="24"/>
        </w:rPr>
      </w:pPr>
      <w:r>
        <w:rPr>
          <w:rFonts w:ascii="Times New Roman" w:hAnsi="Times New Roman"/>
          <w:sz w:val="24"/>
        </w:rPr>
        <w:t>10)</w:t>
      </w:r>
      <w:r>
        <w:rPr>
          <w:rFonts w:ascii="Times New Roman" w:hAnsi="Times New Roman"/>
          <w:sz w:val="24"/>
        </w:rPr>
        <w:tab/>
        <w:t>Documentation of background checks in accordance with Section 800.110.</w:t>
      </w:r>
    </w:p>
    <w:p w:rsidR="00702328" w:rsidRDefault="00702328" w:rsidP="00702328">
      <w:pPr>
        <w:spacing w:line="279" w:lineRule="exact"/>
        <w:ind w:hanging="828"/>
        <w:rPr>
          <w:rFonts w:ascii="Times New Roman" w:hAnsi="Times New Roman"/>
          <w:sz w:val="24"/>
        </w:rPr>
      </w:pPr>
    </w:p>
    <w:p w:rsidR="00702328" w:rsidRDefault="00702328" w:rsidP="00702328">
      <w:pPr>
        <w:spacing w:line="279" w:lineRule="exact"/>
        <w:ind w:left="2160" w:hanging="828"/>
        <w:rPr>
          <w:rFonts w:ascii="Times New Roman" w:hAnsi="Times New Roman"/>
          <w:sz w:val="24"/>
        </w:rPr>
      </w:pPr>
      <w:r>
        <w:rPr>
          <w:rFonts w:ascii="Times New Roman" w:hAnsi="Times New Roman"/>
          <w:sz w:val="24"/>
        </w:rPr>
        <w:t>11)</w:t>
      </w:r>
      <w:r>
        <w:rPr>
          <w:rFonts w:ascii="Times New Roman" w:hAnsi="Times New Roman"/>
          <w:sz w:val="24"/>
        </w:rPr>
        <w:tab/>
        <w:t>The appropriate application fee per Section 800.60.</w:t>
      </w:r>
    </w:p>
    <w:p w:rsidR="00702328" w:rsidRDefault="00702328" w:rsidP="00702328">
      <w:pPr>
        <w:spacing w:line="279" w:lineRule="exact"/>
        <w:ind w:left="2160" w:hanging="828"/>
        <w:rPr>
          <w:rFonts w:ascii="Times New Roman" w:hAnsi="Times New Roman"/>
          <w:sz w:val="24"/>
        </w:rPr>
      </w:pPr>
    </w:p>
    <w:p w:rsidR="00702328" w:rsidRDefault="00702328" w:rsidP="00702328">
      <w:pPr>
        <w:spacing w:line="279" w:lineRule="exact"/>
        <w:ind w:left="2160" w:hanging="828"/>
        <w:rPr>
          <w:rFonts w:ascii="Times New Roman" w:hAnsi="Times New Roman"/>
          <w:sz w:val="24"/>
        </w:rPr>
      </w:pPr>
      <w:r>
        <w:rPr>
          <w:rFonts w:ascii="Times New Roman" w:hAnsi="Times New Roman"/>
          <w:sz w:val="24"/>
        </w:rPr>
        <w:t>12)</w:t>
      </w:r>
      <w:r>
        <w:rPr>
          <w:rFonts w:ascii="Times New Roman" w:hAnsi="Times New Roman"/>
          <w:sz w:val="24"/>
        </w:rPr>
        <w:tab/>
        <w:t xml:space="preserve">If applying for a Level II license, a copy of the Department of Human Services </w:t>
      </w:r>
      <w:r w:rsidR="00046BB2">
        <w:rPr>
          <w:rFonts w:ascii="Times New Roman" w:hAnsi="Times New Roman"/>
          <w:sz w:val="24"/>
        </w:rPr>
        <w:t>l</w:t>
      </w:r>
      <w:r>
        <w:rPr>
          <w:rFonts w:ascii="Times New Roman" w:hAnsi="Times New Roman"/>
          <w:sz w:val="24"/>
        </w:rPr>
        <w:t>icense.</w:t>
      </w:r>
    </w:p>
    <w:p w:rsidR="00702328" w:rsidRDefault="00702328" w:rsidP="00702328">
      <w:pPr>
        <w:spacing w:line="279" w:lineRule="exact"/>
        <w:ind w:hanging="828"/>
        <w:rPr>
          <w:rFonts w:ascii="Times New Roman" w:hAnsi="Times New Roman"/>
          <w:sz w:val="24"/>
        </w:rPr>
      </w:pPr>
    </w:p>
    <w:p w:rsidR="00702328" w:rsidRDefault="00702328" w:rsidP="00702328">
      <w:pPr>
        <w:spacing w:line="279" w:lineRule="exact"/>
        <w:ind w:left="1440" w:hanging="720"/>
        <w:rPr>
          <w:rFonts w:ascii="Times New Roman" w:hAnsi="Times New Roman"/>
          <w:sz w:val="24"/>
        </w:rPr>
      </w:pPr>
      <w:r>
        <w:rPr>
          <w:rFonts w:ascii="Times New Roman" w:hAnsi="Times New Roman"/>
          <w:sz w:val="24"/>
        </w:rPr>
        <w:t>c)</w:t>
      </w:r>
      <w:r>
        <w:rPr>
          <w:rFonts w:ascii="Times New Roman" w:hAnsi="Times New Roman"/>
          <w:sz w:val="24"/>
        </w:rPr>
        <w:tab/>
        <w:t>A new application shall be required whenever:</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1)</w:t>
      </w:r>
      <w:r>
        <w:rPr>
          <w:rFonts w:ascii="Times New Roman" w:hAnsi="Times New Roman"/>
          <w:sz w:val="24"/>
        </w:rPr>
        <w:tab/>
        <w:t>An application for license has been withdrawn and the facility seeks to reapply;</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2)</w:t>
      </w:r>
      <w:r>
        <w:rPr>
          <w:rFonts w:ascii="Times New Roman" w:hAnsi="Times New Roman"/>
          <w:sz w:val="24"/>
        </w:rPr>
        <w:tab/>
        <w:t>There is a change of facility location;</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3)</w:t>
      </w:r>
      <w:r>
        <w:rPr>
          <w:rFonts w:ascii="Times New Roman" w:hAnsi="Times New Roman"/>
          <w:sz w:val="24"/>
        </w:rPr>
        <w:tab/>
        <w:t>There is a change of licensee's ownership, name, supervising agency, or corporate status or the individual who holds a license has died; or</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2160" w:hanging="720"/>
        <w:rPr>
          <w:rFonts w:ascii="Times New Roman" w:hAnsi="Times New Roman"/>
          <w:sz w:val="24"/>
        </w:rPr>
      </w:pPr>
      <w:r>
        <w:rPr>
          <w:rFonts w:ascii="Times New Roman" w:hAnsi="Times New Roman"/>
          <w:sz w:val="24"/>
        </w:rPr>
        <w:t>4)</w:t>
      </w:r>
      <w:r>
        <w:rPr>
          <w:rFonts w:ascii="Times New Roman" w:hAnsi="Times New Roman"/>
          <w:sz w:val="24"/>
        </w:rPr>
        <w:tab/>
        <w:t>A new license is sought after the Department has either revoked a license or refused to renew a license.</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1440" w:hanging="720"/>
        <w:rPr>
          <w:rFonts w:ascii="Times New Roman" w:hAnsi="Times New Roman"/>
          <w:sz w:val="24"/>
        </w:rPr>
      </w:pPr>
      <w:r>
        <w:rPr>
          <w:rFonts w:ascii="Times New Roman" w:hAnsi="Times New Roman"/>
          <w:sz w:val="24"/>
        </w:rPr>
        <w:t>d)</w:t>
      </w:r>
      <w:r>
        <w:rPr>
          <w:rFonts w:ascii="Times New Roman" w:hAnsi="Times New Roman"/>
          <w:sz w:val="24"/>
        </w:rPr>
        <w:tab/>
        <w:t>A new application may be submitted at any time after a license has been voluntarily surrendered or withdrawn by the applicant.</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1440" w:hanging="720"/>
        <w:rPr>
          <w:rFonts w:ascii="Times New Roman" w:hAnsi="Times New Roman"/>
          <w:sz w:val="24"/>
        </w:rPr>
      </w:pPr>
      <w:r>
        <w:rPr>
          <w:rFonts w:ascii="Times New Roman" w:hAnsi="Times New Roman"/>
          <w:sz w:val="24"/>
        </w:rPr>
        <w:t>e)</w:t>
      </w:r>
      <w:r>
        <w:rPr>
          <w:rFonts w:ascii="Times New Roman" w:hAnsi="Times New Roman"/>
          <w:sz w:val="24"/>
        </w:rPr>
        <w:tab/>
        <w:t>If the Department has refused to renew a license or has revoked a license, the facility may not reapply for licensure before the expiration of 12 months after the Department's action.</w:t>
      </w:r>
    </w:p>
    <w:p w:rsidR="00702328" w:rsidRDefault="00702328" w:rsidP="00702328">
      <w:pPr>
        <w:spacing w:line="279" w:lineRule="exact"/>
        <w:rPr>
          <w:rFonts w:ascii="Times New Roman" w:hAnsi="Times New Roman"/>
          <w:sz w:val="24"/>
        </w:rPr>
      </w:pPr>
    </w:p>
    <w:p w:rsidR="00702328" w:rsidRDefault="00702328" w:rsidP="00702328">
      <w:pPr>
        <w:spacing w:line="279" w:lineRule="exact"/>
        <w:ind w:left="1440" w:hanging="720"/>
        <w:rPr>
          <w:rFonts w:ascii="Times New Roman" w:hAnsi="Times New Roman"/>
          <w:sz w:val="24"/>
        </w:rPr>
      </w:pPr>
      <w:r>
        <w:rPr>
          <w:rFonts w:ascii="Times New Roman" w:hAnsi="Times New Roman"/>
          <w:sz w:val="24"/>
        </w:rPr>
        <w:t>f)</w:t>
      </w:r>
      <w:r>
        <w:rPr>
          <w:rFonts w:ascii="Times New Roman" w:hAnsi="Times New Roman"/>
          <w:sz w:val="24"/>
        </w:rPr>
        <w:tab/>
        <w:t>If the applicant's mailing address, but not the physical location, changes</w:t>
      </w:r>
      <w:r w:rsidR="00046BB2">
        <w:rPr>
          <w:rFonts w:ascii="Times New Roman" w:hAnsi="Times New Roman"/>
          <w:sz w:val="24"/>
        </w:rPr>
        <w:t>,</w:t>
      </w:r>
      <w:r>
        <w:rPr>
          <w:rFonts w:ascii="Times New Roman" w:hAnsi="Times New Roman"/>
          <w:sz w:val="24"/>
        </w:rPr>
        <w:t xml:space="preserve"> the Department shall be notified immediately, but no later than ten days after the change.  A current phone number and, if available, a fax number shall be provided to the Department.</w:t>
      </w:r>
    </w:p>
    <w:p w:rsidR="00702328" w:rsidRDefault="00702328" w:rsidP="00702328">
      <w:pPr>
        <w:spacing w:line="279" w:lineRule="exact"/>
        <w:rPr>
          <w:rFonts w:ascii="Times New Roman" w:hAnsi="Times New Roman"/>
          <w:sz w:val="24"/>
        </w:rPr>
      </w:pPr>
      <w:r>
        <w:rPr>
          <w:rFonts w:ascii="Times New Roman" w:hAnsi="Times New Roman"/>
          <w:sz w:val="24"/>
        </w:rPr>
        <w:lastRenderedPageBreak/>
        <w:t xml:space="preserve"> </w:t>
      </w:r>
    </w:p>
    <w:p w:rsidR="00702328" w:rsidRDefault="00702328" w:rsidP="00702328">
      <w:pPr>
        <w:spacing w:line="279" w:lineRule="exact"/>
        <w:ind w:left="1440" w:hanging="720"/>
        <w:rPr>
          <w:rFonts w:ascii="Times New Roman" w:hAnsi="Times New Roman"/>
          <w:sz w:val="24"/>
        </w:rPr>
      </w:pPr>
      <w:r>
        <w:rPr>
          <w:rFonts w:ascii="Times New Roman" w:hAnsi="Times New Roman"/>
          <w:sz w:val="24"/>
        </w:rPr>
        <w:t>g)</w:t>
      </w:r>
      <w:r>
        <w:rPr>
          <w:rFonts w:ascii="Times New Roman" w:hAnsi="Times New Roman"/>
          <w:sz w:val="24"/>
        </w:rPr>
        <w:tab/>
        <w:t xml:space="preserve">The Department shall issue a license or a notification of refusal to issue a license within 180 days after the date the application was received and determined to be complete.  </w:t>
      </w:r>
    </w:p>
    <w:sectPr w:rsidR="0070232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7CEB">
      <w:r>
        <w:separator/>
      </w:r>
    </w:p>
  </w:endnote>
  <w:endnote w:type="continuationSeparator" w:id="0">
    <w:p w:rsidR="00000000" w:rsidRDefault="00F3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7CEB">
      <w:r>
        <w:separator/>
      </w:r>
    </w:p>
  </w:footnote>
  <w:footnote w:type="continuationSeparator" w:id="0">
    <w:p w:rsidR="00000000" w:rsidRDefault="00F37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6BB2"/>
    <w:rsid w:val="00061FD4"/>
    <w:rsid w:val="000912AE"/>
    <w:rsid w:val="000D225F"/>
    <w:rsid w:val="00136B47"/>
    <w:rsid w:val="00150267"/>
    <w:rsid w:val="001C03A2"/>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02328"/>
    <w:rsid w:val="00780733"/>
    <w:rsid w:val="007C14B2"/>
    <w:rsid w:val="00801D20"/>
    <w:rsid w:val="00825C45"/>
    <w:rsid w:val="008271B1"/>
    <w:rsid w:val="00837F88"/>
    <w:rsid w:val="0084781C"/>
    <w:rsid w:val="008B38B5"/>
    <w:rsid w:val="008B4361"/>
    <w:rsid w:val="008D4EA0"/>
    <w:rsid w:val="00935A8C"/>
    <w:rsid w:val="0098276C"/>
    <w:rsid w:val="009C4011"/>
    <w:rsid w:val="009C4FD4"/>
    <w:rsid w:val="00A174BB"/>
    <w:rsid w:val="00A2265D"/>
    <w:rsid w:val="00A414BC"/>
    <w:rsid w:val="00A600AA"/>
    <w:rsid w:val="00A62F7E"/>
    <w:rsid w:val="00A83E0B"/>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D5F90"/>
    <w:rsid w:val="00E7288E"/>
    <w:rsid w:val="00E95503"/>
    <w:rsid w:val="00EB424E"/>
    <w:rsid w:val="00F37CEB"/>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28"/>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702328"/>
    <w:pPr>
      <w:widowControl/>
      <w:autoSpaceDE/>
      <w:autoSpaceDN/>
      <w:adjustRightInd/>
      <w:ind w:left="1260" w:hanging="36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28"/>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702328"/>
    <w:pPr>
      <w:widowControl/>
      <w:autoSpaceDE/>
      <w:autoSpaceDN/>
      <w:adjustRightInd/>
      <w:ind w:left="1260" w:hanging="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