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AD" w:rsidRDefault="009141AD" w:rsidP="009141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1AD" w:rsidRDefault="009141AD" w:rsidP="00914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535.60  Jewelry</w:t>
      </w:r>
      <w:r>
        <w:t xml:space="preserve"> </w:t>
      </w:r>
    </w:p>
    <w:p w:rsidR="009141AD" w:rsidRDefault="009141AD" w:rsidP="009141AD">
      <w:pPr>
        <w:widowControl w:val="0"/>
        <w:autoSpaceDE w:val="0"/>
        <w:autoSpaceDN w:val="0"/>
        <w:adjustRightInd w:val="0"/>
      </w:pPr>
    </w:p>
    <w:p w:rsidR="009141AD" w:rsidRDefault="009141AD" w:rsidP="009141AD">
      <w:pPr>
        <w:widowControl w:val="0"/>
        <w:autoSpaceDE w:val="0"/>
        <w:autoSpaceDN w:val="0"/>
        <w:adjustRightInd w:val="0"/>
      </w:pPr>
      <w:r>
        <w:t xml:space="preserve">A committed person may possess jewelry and shall be required to sign a statement of responsibility for such jewelry.  Limits on the amount, nature or value of jewelry shall be set by the Chief Administrative Officer and shall be posted. </w:t>
      </w:r>
    </w:p>
    <w:p w:rsidR="009141AD" w:rsidRDefault="009141AD" w:rsidP="009141AD">
      <w:pPr>
        <w:widowControl w:val="0"/>
        <w:autoSpaceDE w:val="0"/>
        <w:autoSpaceDN w:val="0"/>
        <w:adjustRightInd w:val="0"/>
      </w:pPr>
    </w:p>
    <w:p w:rsidR="009141AD" w:rsidRDefault="009141AD" w:rsidP="009141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6765, effective May 1, 1990) </w:t>
      </w:r>
    </w:p>
    <w:sectPr w:rsidR="009141AD" w:rsidSect="00914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1AD"/>
    <w:rsid w:val="00195E57"/>
    <w:rsid w:val="005C3366"/>
    <w:rsid w:val="009141AD"/>
    <w:rsid w:val="00A962FA"/>
    <w:rsid w:val="00E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