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18" w:rsidRDefault="00185218" w:rsidP="001852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5218" w:rsidRDefault="00185218" w:rsidP="001852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505.100  Commissary</w:t>
      </w:r>
      <w:r>
        <w:t xml:space="preserve"> </w:t>
      </w:r>
    </w:p>
    <w:p w:rsidR="00185218" w:rsidRDefault="00185218" w:rsidP="00185218">
      <w:pPr>
        <w:widowControl w:val="0"/>
        <w:autoSpaceDE w:val="0"/>
        <w:autoSpaceDN w:val="0"/>
        <w:adjustRightInd w:val="0"/>
      </w:pPr>
    </w:p>
    <w:p w:rsidR="00185218" w:rsidRDefault="00185218" w:rsidP="00185218">
      <w:pPr>
        <w:widowControl w:val="0"/>
        <w:autoSpaceDE w:val="0"/>
        <w:autoSpaceDN w:val="0"/>
        <w:adjustRightInd w:val="0"/>
      </w:pPr>
      <w:r>
        <w:t xml:space="preserve">Commissary shall be provided according to institutional status. </w:t>
      </w:r>
    </w:p>
    <w:sectPr w:rsidR="00185218" w:rsidSect="001852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218"/>
    <w:rsid w:val="00185218"/>
    <w:rsid w:val="0019334C"/>
    <w:rsid w:val="005C3366"/>
    <w:rsid w:val="00A97225"/>
    <w:rsid w:val="00A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