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F69" w:rsidRDefault="00CE2F69" w:rsidP="00CE2F6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E2F69" w:rsidRDefault="00CE2F69" w:rsidP="00CE2F69">
      <w:pPr>
        <w:widowControl w:val="0"/>
        <w:autoSpaceDE w:val="0"/>
        <w:autoSpaceDN w:val="0"/>
        <w:adjustRightInd w:val="0"/>
      </w:pPr>
      <w:r>
        <w:t>SOURCE:  Adopted and codified at 8 Ill. Reg. 14628, effective August 1, 1984; amended at 11 Ill. Reg. 14697, effective September 1, 1987; amended at 13 Ill. Reg. 16977, effective November 1, 1989; amended at 18 Ill. Reg. 6328, effective May 1</w:t>
      </w:r>
      <w:r w:rsidR="00DD0AE4">
        <w:t xml:space="preserve">, 1994. </w:t>
      </w:r>
    </w:p>
    <w:sectPr w:rsidR="00CE2F69" w:rsidSect="00CE2F6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2F69"/>
    <w:rsid w:val="005378F0"/>
    <w:rsid w:val="005C3366"/>
    <w:rsid w:val="00CA0B09"/>
    <w:rsid w:val="00CE2F69"/>
    <w:rsid w:val="00DD0AE4"/>
    <w:rsid w:val="00EE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8 Ill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8 Ill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