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44" w:rsidRDefault="00220144" w:rsidP="002201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0144" w:rsidRDefault="00220144" w:rsidP="002201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103.20  Legislative Communications</w:t>
      </w:r>
      <w:r>
        <w:t xml:space="preserve"> </w:t>
      </w:r>
    </w:p>
    <w:p w:rsidR="00220144" w:rsidRDefault="00220144" w:rsidP="00220144">
      <w:pPr>
        <w:widowControl w:val="0"/>
        <w:autoSpaceDE w:val="0"/>
        <w:autoSpaceDN w:val="0"/>
        <w:adjustRightInd w:val="0"/>
      </w:pPr>
    </w:p>
    <w:p w:rsidR="00220144" w:rsidRDefault="00220144" w:rsidP="00220144">
      <w:pPr>
        <w:widowControl w:val="0"/>
        <w:autoSpaceDE w:val="0"/>
        <w:autoSpaceDN w:val="0"/>
        <w:adjustRightInd w:val="0"/>
      </w:pPr>
      <w:r>
        <w:t xml:space="preserve">The Legislative Liaison shall be responsible for informing and communicating with the General Assembly, subject to approval of the Director. </w:t>
      </w:r>
    </w:p>
    <w:sectPr w:rsidR="00220144" w:rsidSect="00220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144"/>
    <w:rsid w:val="00220144"/>
    <w:rsid w:val="0022405F"/>
    <w:rsid w:val="005A3293"/>
    <w:rsid w:val="005C3366"/>
    <w:rsid w:val="0075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