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F4" w:rsidRDefault="007272F4" w:rsidP="007272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2F4" w:rsidRDefault="007272F4" w:rsidP="007272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4180.600  Categorical No Effects</w:t>
      </w:r>
      <w:r>
        <w:t xml:space="preserve"> </w:t>
      </w:r>
    </w:p>
    <w:p w:rsidR="007272F4" w:rsidRDefault="007272F4" w:rsidP="007272F4">
      <w:pPr>
        <w:widowControl w:val="0"/>
        <w:autoSpaceDE w:val="0"/>
        <w:autoSpaceDN w:val="0"/>
        <w:adjustRightInd w:val="0"/>
      </w:pPr>
    </w:p>
    <w:p w:rsidR="007272F4" w:rsidRDefault="007272F4" w:rsidP="007272F4">
      <w:pPr>
        <w:widowControl w:val="0"/>
        <w:autoSpaceDE w:val="0"/>
        <w:autoSpaceDN w:val="0"/>
        <w:adjustRightInd w:val="0"/>
      </w:pPr>
      <w:r>
        <w:t xml:space="preserve">The State agency and the Director may enter into a written agreement stating that a repetitive undertaking or a certain class of undertakings shall have no effect on historic resources, thereby waiving the requirement for review of each action covered by the agreement.  To qualify, a State agency shall assign a staff person to carry out the terms of such agreement.  Such agreements shall be subject to review for amendment or revision.  Examples include:  minor sewer rehabilitation, in-kind bridge repair, licensing private wells, and highway maintenance. </w:t>
      </w:r>
    </w:p>
    <w:sectPr w:rsidR="007272F4" w:rsidSect="007272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2F4"/>
    <w:rsid w:val="005C3366"/>
    <w:rsid w:val="007272F4"/>
    <w:rsid w:val="00AC4C31"/>
    <w:rsid w:val="00BB4D8F"/>
    <w:rsid w:val="00F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4180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4180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