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864F" w14:textId="77777777" w:rsidR="000A1D25" w:rsidRDefault="000A1D25" w:rsidP="000A1D25">
      <w:pPr>
        <w:widowControl w:val="0"/>
        <w:autoSpaceDE w:val="0"/>
        <w:autoSpaceDN w:val="0"/>
        <w:adjustRightInd w:val="0"/>
      </w:pPr>
    </w:p>
    <w:p w14:paraId="591B4031" w14:textId="77777777" w:rsidR="000A1D25" w:rsidRDefault="000A1D25" w:rsidP="000A1D25">
      <w:pPr>
        <w:widowControl w:val="0"/>
        <w:autoSpaceDE w:val="0"/>
        <w:autoSpaceDN w:val="0"/>
        <w:adjustRightInd w:val="0"/>
      </w:pPr>
      <w:r>
        <w:rPr>
          <w:b/>
          <w:bCs/>
        </w:rPr>
        <w:t xml:space="preserve">Section </w:t>
      </w:r>
      <w:proofErr w:type="gramStart"/>
      <w:r>
        <w:rPr>
          <w:b/>
          <w:bCs/>
        </w:rPr>
        <w:t>4150.60  Regulations</w:t>
      </w:r>
      <w:proofErr w:type="gramEnd"/>
      <w:r>
        <w:rPr>
          <w:b/>
          <w:bCs/>
        </w:rPr>
        <w:t xml:space="preserve"> Pertaining to the Approval of County or Municipal Landmark Ordinances</w:t>
      </w:r>
      <w:r>
        <w:t xml:space="preserve"> </w:t>
      </w:r>
    </w:p>
    <w:p w14:paraId="057A7A2F" w14:textId="77777777" w:rsidR="000A1D25" w:rsidRDefault="000A1D25" w:rsidP="000A1D25">
      <w:pPr>
        <w:widowControl w:val="0"/>
        <w:autoSpaceDE w:val="0"/>
        <w:autoSpaceDN w:val="0"/>
        <w:adjustRightInd w:val="0"/>
      </w:pPr>
    </w:p>
    <w:p w14:paraId="46AE2382" w14:textId="77777777" w:rsidR="000A1D25" w:rsidRDefault="000A1D25" w:rsidP="000A1D25">
      <w:pPr>
        <w:widowControl w:val="0"/>
        <w:autoSpaceDE w:val="0"/>
        <w:autoSpaceDN w:val="0"/>
        <w:adjustRightInd w:val="0"/>
        <w:ind w:left="1440" w:hanging="720"/>
      </w:pPr>
      <w:r>
        <w:t>a)</w:t>
      </w:r>
      <w:r>
        <w:tab/>
        <w:t xml:space="preserve">The chief elected official of a county or municipality may request in writing the approval of the Director for a landmark ordinance.  The following documentation shall accompany the request: </w:t>
      </w:r>
    </w:p>
    <w:p w14:paraId="2195022D" w14:textId="77777777" w:rsidR="00941BCA" w:rsidRDefault="00941BCA" w:rsidP="00571C51">
      <w:pPr>
        <w:widowControl w:val="0"/>
        <w:autoSpaceDE w:val="0"/>
        <w:autoSpaceDN w:val="0"/>
        <w:adjustRightInd w:val="0"/>
      </w:pPr>
    </w:p>
    <w:p w14:paraId="6C814AEB" w14:textId="77777777" w:rsidR="000A1D25" w:rsidRDefault="000A1D25" w:rsidP="000A1D25">
      <w:pPr>
        <w:widowControl w:val="0"/>
        <w:autoSpaceDE w:val="0"/>
        <w:autoSpaceDN w:val="0"/>
        <w:adjustRightInd w:val="0"/>
        <w:ind w:left="2160" w:hanging="720"/>
      </w:pPr>
      <w:r>
        <w:t>1)</w:t>
      </w:r>
      <w:r>
        <w:tab/>
        <w:t xml:space="preserve">a copy of the ordinance for which approval is requested, </w:t>
      </w:r>
    </w:p>
    <w:p w14:paraId="3723F9A8" w14:textId="77777777" w:rsidR="00941BCA" w:rsidRDefault="00941BCA" w:rsidP="00571C51">
      <w:pPr>
        <w:widowControl w:val="0"/>
        <w:autoSpaceDE w:val="0"/>
        <w:autoSpaceDN w:val="0"/>
        <w:adjustRightInd w:val="0"/>
      </w:pPr>
    </w:p>
    <w:p w14:paraId="7A2D653D" w14:textId="77777777" w:rsidR="000A1D25" w:rsidRDefault="000A1D25" w:rsidP="000A1D25">
      <w:pPr>
        <w:widowControl w:val="0"/>
        <w:autoSpaceDE w:val="0"/>
        <w:autoSpaceDN w:val="0"/>
        <w:adjustRightInd w:val="0"/>
        <w:ind w:left="2160" w:hanging="720"/>
      </w:pPr>
      <w:r>
        <w:t>2)</w:t>
      </w:r>
      <w:r>
        <w:tab/>
        <w:t xml:space="preserve">a list, including the common addresses and verbal boundary descriptions of all individual properties and historic districts designated under the ordinance, </w:t>
      </w:r>
    </w:p>
    <w:p w14:paraId="3A91D2BE" w14:textId="77777777" w:rsidR="00941BCA" w:rsidRDefault="00941BCA" w:rsidP="00571C51">
      <w:pPr>
        <w:widowControl w:val="0"/>
        <w:autoSpaceDE w:val="0"/>
        <w:autoSpaceDN w:val="0"/>
        <w:adjustRightInd w:val="0"/>
      </w:pPr>
    </w:p>
    <w:p w14:paraId="074E86FD" w14:textId="77777777" w:rsidR="000A1D25" w:rsidRDefault="000A1D25" w:rsidP="000A1D25">
      <w:pPr>
        <w:widowControl w:val="0"/>
        <w:autoSpaceDE w:val="0"/>
        <w:autoSpaceDN w:val="0"/>
        <w:adjustRightInd w:val="0"/>
        <w:ind w:left="2160" w:hanging="720"/>
      </w:pPr>
      <w:r>
        <w:t>3)</w:t>
      </w:r>
      <w:r>
        <w:tab/>
        <w:t xml:space="preserve">a description and statement of significance for all designated individual properties and historic districts which includes representative photographic views, </w:t>
      </w:r>
    </w:p>
    <w:p w14:paraId="6A9D41B8" w14:textId="77777777" w:rsidR="00941BCA" w:rsidRDefault="00941BCA" w:rsidP="00571C51">
      <w:pPr>
        <w:widowControl w:val="0"/>
        <w:autoSpaceDE w:val="0"/>
        <w:autoSpaceDN w:val="0"/>
        <w:adjustRightInd w:val="0"/>
      </w:pPr>
    </w:p>
    <w:p w14:paraId="2DEF1752" w14:textId="77777777" w:rsidR="000A1D25" w:rsidRDefault="000A1D25" w:rsidP="000A1D25">
      <w:pPr>
        <w:widowControl w:val="0"/>
        <w:autoSpaceDE w:val="0"/>
        <w:autoSpaceDN w:val="0"/>
        <w:adjustRightInd w:val="0"/>
        <w:ind w:left="2160" w:hanging="720"/>
      </w:pPr>
      <w:r>
        <w:t>4)</w:t>
      </w:r>
      <w:r>
        <w:tab/>
        <w:t xml:space="preserve">a map indicating the location of individual landmarks and historic districts, and </w:t>
      </w:r>
    </w:p>
    <w:p w14:paraId="485E78B5" w14:textId="77777777" w:rsidR="00941BCA" w:rsidRDefault="00941BCA" w:rsidP="00571C51">
      <w:pPr>
        <w:widowControl w:val="0"/>
        <w:autoSpaceDE w:val="0"/>
        <w:autoSpaceDN w:val="0"/>
        <w:adjustRightInd w:val="0"/>
      </w:pPr>
    </w:p>
    <w:p w14:paraId="6B49A260" w14:textId="77777777" w:rsidR="000A1D25" w:rsidRDefault="000A1D25" w:rsidP="000A1D25">
      <w:pPr>
        <w:widowControl w:val="0"/>
        <w:autoSpaceDE w:val="0"/>
        <w:autoSpaceDN w:val="0"/>
        <w:adjustRightInd w:val="0"/>
        <w:ind w:left="1440" w:hanging="720"/>
      </w:pPr>
      <w:r>
        <w:t>b)</w:t>
      </w:r>
      <w:r>
        <w:tab/>
        <w:t xml:space="preserve">Within forty-five days of receipt of the request and the documentation required in Section 4150.60(a), the Director shall approve the ordinance by letter to the chief elected official if the documentation indicates compliance with criteria for designation of landmarks and historic districts established by the United States Department of the Interior for the inclusion of properties in the National Register of Historic Places (36 CFR 60, 1983), and if the ordinance contains provisions for the following: </w:t>
      </w:r>
    </w:p>
    <w:p w14:paraId="02E728ED" w14:textId="77777777" w:rsidR="00941BCA" w:rsidRDefault="00941BCA" w:rsidP="00571C51">
      <w:pPr>
        <w:widowControl w:val="0"/>
        <w:autoSpaceDE w:val="0"/>
        <w:autoSpaceDN w:val="0"/>
        <w:adjustRightInd w:val="0"/>
      </w:pPr>
    </w:p>
    <w:p w14:paraId="7919BCDF" w14:textId="76FA87C1" w:rsidR="000A1D25" w:rsidRDefault="000A1D25" w:rsidP="000A1D25">
      <w:pPr>
        <w:widowControl w:val="0"/>
        <w:autoSpaceDE w:val="0"/>
        <w:autoSpaceDN w:val="0"/>
        <w:adjustRightInd w:val="0"/>
        <w:ind w:left="2160" w:hanging="720"/>
      </w:pPr>
      <w:r>
        <w:t>1)</w:t>
      </w:r>
      <w:r>
        <w:tab/>
        <w:t>authorization for historic preservation under (</w:t>
      </w:r>
      <w:r w:rsidR="001A525A">
        <w:t xml:space="preserve">65 </w:t>
      </w:r>
      <w:proofErr w:type="spellStart"/>
      <w:r w:rsidR="001A525A">
        <w:t>ILCS</w:t>
      </w:r>
      <w:proofErr w:type="spellEnd"/>
      <w:r w:rsidR="001A525A">
        <w:t xml:space="preserve"> 5/11-48/2-1</w:t>
      </w:r>
      <w:bookmarkStart w:id="0" w:name="_cp_change_9"/>
      <w:bookmarkEnd w:id="0"/>
      <w:r w:rsidR="001A525A">
        <w:t xml:space="preserve"> </w:t>
      </w:r>
      <w:r>
        <w:t>et seq.), the Illinois Historic Areas Preservation Act (</w:t>
      </w:r>
      <w:r w:rsidR="001A525A">
        <w:t xml:space="preserve">20 </w:t>
      </w:r>
      <w:proofErr w:type="spellStart"/>
      <w:r w:rsidR="001A525A">
        <w:t>ILCS</w:t>
      </w:r>
      <w:proofErr w:type="spellEnd"/>
      <w:r w:rsidR="001A525A">
        <w:t xml:space="preserve"> 3410/1</w:t>
      </w:r>
      <w:bookmarkStart w:id="1" w:name="_cp_change_11"/>
      <w:bookmarkEnd w:id="1"/>
      <w:r>
        <w:t>), the Illinois Zoning Enabling Act (</w:t>
      </w:r>
      <w:bookmarkStart w:id="2" w:name="_cp_change_13"/>
      <w:bookmarkEnd w:id="2"/>
      <w:r w:rsidR="001A525A">
        <w:t xml:space="preserve">65 </w:t>
      </w:r>
      <w:proofErr w:type="spellStart"/>
      <w:r w:rsidR="001A525A">
        <w:t>ILCS</w:t>
      </w:r>
      <w:proofErr w:type="spellEnd"/>
      <w:r w:rsidR="001A525A">
        <w:t xml:space="preserve"> 5/11-13-1</w:t>
      </w:r>
      <w:r>
        <w:t xml:space="preserve">), or the Home Rule section of the Illinois Constitution (Section 6 (a) of Article VII), </w:t>
      </w:r>
    </w:p>
    <w:p w14:paraId="6B6FC0BB" w14:textId="77777777" w:rsidR="00941BCA" w:rsidRDefault="00941BCA" w:rsidP="00571C51">
      <w:pPr>
        <w:widowControl w:val="0"/>
        <w:autoSpaceDE w:val="0"/>
        <w:autoSpaceDN w:val="0"/>
        <w:adjustRightInd w:val="0"/>
      </w:pPr>
    </w:p>
    <w:p w14:paraId="3941B14E" w14:textId="77777777" w:rsidR="000A1D25" w:rsidRDefault="000A1D25" w:rsidP="000A1D25">
      <w:pPr>
        <w:widowControl w:val="0"/>
        <w:autoSpaceDE w:val="0"/>
        <w:autoSpaceDN w:val="0"/>
        <w:adjustRightInd w:val="0"/>
        <w:ind w:left="2160" w:hanging="720"/>
      </w:pPr>
      <w:r>
        <w:t>2)</w:t>
      </w:r>
      <w:r>
        <w:tab/>
        <w:t xml:space="preserve">a statement of purpose </w:t>
      </w:r>
    </w:p>
    <w:p w14:paraId="283BE26A" w14:textId="77777777" w:rsidR="00941BCA" w:rsidRDefault="00941BCA" w:rsidP="00571C51">
      <w:pPr>
        <w:widowControl w:val="0"/>
        <w:autoSpaceDE w:val="0"/>
        <w:autoSpaceDN w:val="0"/>
        <w:adjustRightInd w:val="0"/>
      </w:pPr>
    </w:p>
    <w:p w14:paraId="1C69D7A0" w14:textId="77777777" w:rsidR="000A1D25" w:rsidRDefault="000A1D25" w:rsidP="000A1D25">
      <w:pPr>
        <w:widowControl w:val="0"/>
        <w:autoSpaceDE w:val="0"/>
        <w:autoSpaceDN w:val="0"/>
        <w:adjustRightInd w:val="0"/>
        <w:ind w:left="2160" w:hanging="720"/>
      </w:pPr>
      <w:r>
        <w:t>3)</w:t>
      </w:r>
      <w:r>
        <w:tab/>
        <w:t xml:space="preserve">establishment of a historic review commission which shall </w:t>
      </w:r>
    </w:p>
    <w:p w14:paraId="2381C3CF" w14:textId="77777777" w:rsidR="00941BCA" w:rsidRDefault="00941BCA" w:rsidP="00571C51">
      <w:pPr>
        <w:widowControl w:val="0"/>
        <w:autoSpaceDE w:val="0"/>
        <w:autoSpaceDN w:val="0"/>
        <w:adjustRightInd w:val="0"/>
      </w:pPr>
    </w:p>
    <w:p w14:paraId="444195E5" w14:textId="77777777" w:rsidR="000A1D25" w:rsidRDefault="000A1D25" w:rsidP="000A1D25">
      <w:pPr>
        <w:widowControl w:val="0"/>
        <w:autoSpaceDE w:val="0"/>
        <w:autoSpaceDN w:val="0"/>
        <w:adjustRightInd w:val="0"/>
        <w:ind w:left="2880" w:hanging="720"/>
      </w:pPr>
      <w:r>
        <w:t>A)</w:t>
      </w:r>
      <w:r>
        <w:tab/>
        <w:t xml:space="preserve">have no fewer than five members </w:t>
      </w:r>
    </w:p>
    <w:p w14:paraId="232046CA" w14:textId="77777777" w:rsidR="00941BCA" w:rsidRDefault="00941BCA" w:rsidP="00571C51">
      <w:pPr>
        <w:widowControl w:val="0"/>
        <w:autoSpaceDE w:val="0"/>
        <w:autoSpaceDN w:val="0"/>
        <w:adjustRightInd w:val="0"/>
      </w:pPr>
    </w:p>
    <w:p w14:paraId="284869A2" w14:textId="77777777" w:rsidR="000A1D25" w:rsidRDefault="000A1D25" w:rsidP="000A1D25">
      <w:pPr>
        <w:widowControl w:val="0"/>
        <w:autoSpaceDE w:val="0"/>
        <w:autoSpaceDN w:val="0"/>
        <w:adjustRightInd w:val="0"/>
        <w:ind w:left="2880" w:hanging="720"/>
      </w:pPr>
      <w:r>
        <w:t>B)</w:t>
      </w:r>
      <w:r>
        <w:tab/>
        <w:t xml:space="preserve">have demonstrated expertise in the disciplines of history, architectural history, historic architecture, architecture, community planning, real estate, neighborhood conservation, historic preservation, or related field, </w:t>
      </w:r>
    </w:p>
    <w:p w14:paraId="7D0932CE" w14:textId="77777777" w:rsidR="00941BCA" w:rsidRDefault="00941BCA" w:rsidP="00571C51">
      <w:pPr>
        <w:widowControl w:val="0"/>
        <w:autoSpaceDE w:val="0"/>
        <w:autoSpaceDN w:val="0"/>
        <w:adjustRightInd w:val="0"/>
      </w:pPr>
    </w:p>
    <w:p w14:paraId="64EF0990" w14:textId="77777777" w:rsidR="000A1D25" w:rsidRDefault="000A1D25" w:rsidP="000A1D25">
      <w:pPr>
        <w:widowControl w:val="0"/>
        <w:autoSpaceDE w:val="0"/>
        <w:autoSpaceDN w:val="0"/>
        <w:adjustRightInd w:val="0"/>
        <w:ind w:left="2880" w:hanging="720"/>
      </w:pPr>
      <w:r>
        <w:t>C)</w:t>
      </w:r>
      <w:r>
        <w:tab/>
        <w:t xml:space="preserve">have staggered terms of office for members, </w:t>
      </w:r>
    </w:p>
    <w:p w14:paraId="414EB58D" w14:textId="77777777" w:rsidR="00941BCA" w:rsidRDefault="00941BCA" w:rsidP="00571C51">
      <w:pPr>
        <w:widowControl w:val="0"/>
        <w:autoSpaceDE w:val="0"/>
        <w:autoSpaceDN w:val="0"/>
        <w:adjustRightInd w:val="0"/>
      </w:pPr>
    </w:p>
    <w:p w14:paraId="0397ACB5" w14:textId="77777777" w:rsidR="000A1D25" w:rsidRDefault="000A1D25" w:rsidP="000A1D25">
      <w:pPr>
        <w:widowControl w:val="0"/>
        <w:autoSpaceDE w:val="0"/>
        <w:autoSpaceDN w:val="0"/>
        <w:adjustRightInd w:val="0"/>
        <w:ind w:left="2880" w:hanging="720"/>
      </w:pPr>
      <w:r>
        <w:t>D)</w:t>
      </w:r>
      <w:r>
        <w:tab/>
        <w:t xml:space="preserve">hold meetings at regular intervals at least four times each year, </w:t>
      </w:r>
    </w:p>
    <w:p w14:paraId="6CC93DFE" w14:textId="77777777" w:rsidR="00941BCA" w:rsidRDefault="00941BCA" w:rsidP="00571C51">
      <w:pPr>
        <w:widowControl w:val="0"/>
        <w:autoSpaceDE w:val="0"/>
        <w:autoSpaceDN w:val="0"/>
        <w:adjustRightInd w:val="0"/>
      </w:pPr>
    </w:p>
    <w:p w14:paraId="7F5C39D9" w14:textId="77777777" w:rsidR="000A1D25" w:rsidRDefault="000A1D25" w:rsidP="000A1D25">
      <w:pPr>
        <w:widowControl w:val="0"/>
        <w:autoSpaceDE w:val="0"/>
        <w:autoSpaceDN w:val="0"/>
        <w:adjustRightInd w:val="0"/>
        <w:ind w:left="2160" w:hanging="720"/>
      </w:pPr>
      <w:r>
        <w:t>4)</w:t>
      </w:r>
      <w:r>
        <w:tab/>
        <w:t xml:space="preserve">criteria for designation of landmarks and/or historic districts that are consistent with those established by the United States Department of the Interior for the inclusion of properties in the National Register of Historic Places (36 CFR 60, 1983), </w:t>
      </w:r>
    </w:p>
    <w:p w14:paraId="10242E59" w14:textId="77777777" w:rsidR="00941BCA" w:rsidRDefault="00941BCA" w:rsidP="00571C51">
      <w:pPr>
        <w:widowControl w:val="0"/>
        <w:autoSpaceDE w:val="0"/>
        <w:autoSpaceDN w:val="0"/>
        <w:adjustRightInd w:val="0"/>
      </w:pPr>
    </w:p>
    <w:p w14:paraId="5712D131" w14:textId="77777777" w:rsidR="000A1D25" w:rsidRDefault="000A1D25" w:rsidP="000A1D25">
      <w:pPr>
        <w:widowControl w:val="0"/>
        <w:autoSpaceDE w:val="0"/>
        <w:autoSpaceDN w:val="0"/>
        <w:adjustRightInd w:val="0"/>
        <w:ind w:left="2160" w:hanging="720"/>
      </w:pPr>
      <w:r>
        <w:t>5)</w:t>
      </w:r>
      <w:r>
        <w:tab/>
        <w:t xml:space="preserve">a process for designation of historic districts and/or landmarks, </w:t>
      </w:r>
    </w:p>
    <w:p w14:paraId="07F01BDF" w14:textId="77777777" w:rsidR="00941BCA" w:rsidRDefault="00941BCA" w:rsidP="00571C51">
      <w:pPr>
        <w:widowControl w:val="0"/>
        <w:autoSpaceDE w:val="0"/>
        <w:autoSpaceDN w:val="0"/>
        <w:adjustRightInd w:val="0"/>
      </w:pPr>
    </w:p>
    <w:p w14:paraId="2169F00A" w14:textId="77777777" w:rsidR="000A1D25" w:rsidRDefault="000A1D25" w:rsidP="000A1D25">
      <w:pPr>
        <w:widowControl w:val="0"/>
        <w:autoSpaceDE w:val="0"/>
        <w:autoSpaceDN w:val="0"/>
        <w:adjustRightInd w:val="0"/>
        <w:ind w:left="2160" w:hanging="720"/>
      </w:pPr>
      <w:r>
        <w:t>6)</w:t>
      </w:r>
      <w:r>
        <w:tab/>
        <w:t xml:space="preserve">a definition of actions that merit review by the historic review commission which shall include demolitions and major alterations, </w:t>
      </w:r>
    </w:p>
    <w:p w14:paraId="782A61AF" w14:textId="77777777" w:rsidR="00941BCA" w:rsidRDefault="00941BCA" w:rsidP="00571C51">
      <w:pPr>
        <w:widowControl w:val="0"/>
        <w:autoSpaceDE w:val="0"/>
        <w:autoSpaceDN w:val="0"/>
        <w:adjustRightInd w:val="0"/>
      </w:pPr>
    </w:p>
    <w:p w14:paraId="0CF25D4E" w14:textId="77777777" w:rsidR="000A1D25" w:rsidRDefault="000A1D25" w:rsidP="000A1D25">
      <w:pPr>
        <w:widowControl w:val="0"/>
        <w:autoSpaceDE w:val="0"/>
        <w:autoSpaceDN w:val="0"/>
        <w:adjustRightInd w:val="0"/>
        <w:ind w:left="2160" w:hanging="720"/>
      </w:pPr>
      <w:r>
        <w:t>7)</w:t>
      </w:r>
      <w:r>
        <w:tab/>
        <w:t xml:space="preserve">standards and criteria for review of actions within the jurisdiction of the historic review commission, and </w:t>
      </w:r>
    </w:p>
    <w:p w14:paraId="48F22E03" w14:textId="77777777" w:rsidR="00941BCA" w:rsidRDefault="00941BCA" w:rsidP="00571C51">
      <w:pPr>
        <w:widowControl w:val="0"/>
        <w:autoSpaceDE w:val="0"/>
        <w:autoSpaceDN w:val="0"/>
        <w:adjustRightInd w:val="0"/>
      </w:pPr>
    </w:p>
    <w:p w14:paraId="0DDBF72B" w14:textId="77777777" w:rsidR="000A1D25" w:rsidRDefault="000A1D25" w:rsidP="000A1D25">
      <w:pPr>
        <w:widowControl w:val="0"/>
        <w:autoSpaceDE w:val="0"/>
        <w:autoSpaceDN w:val="0"/>
        <w:adjustRightInd w:val="0"/>
        <w:ind w:left="2160" w:hanging="720"/>
      </w:pPr>
      <w:r>
        <w:t>8)</w:t>
      </w:r>
      <w:r>
        <w:tab/>
        <w:t xml:space="preserve">procedural due process such as notification and an appeal </w:t>
      </w:r>
      <w:proofErr w:type="gramStart"/>
      <w:r>
        <w:t>procedures</w:t>
      </w:r>
      <w:proofErr w:type="gramEnd"/>
      <w:r>
        <w:t xml:space="preserve">. </w:t>
      </w:r>
    </w:p>
    <w:p w14:paraId="4AA5EA70" w14:textId="77777777" w:rsidR="000A1D25" w:rsidRDefault="000A1D25" w:rsidP="00571C51">
      <w:pPr>
        <w:widowControl w:val="0"/>
        <w:autoSpaceDE w:val="0"/>
        <w:autoSpaceDN w:val="0"/>
        <w:adjustRightInd w:val="0"/>
      </w:pPr>
    </w:p>
    <w:p w14:paraId="5A1F9EE8" w14:textId="77777777" w:rsidR="000A1D25" w:rsidRDefault="000A1D25" w:rsidP="000A1D25">
      <w:pPr>
        <w:widowControl w:val="0"/>
        <w:autoSpaceDE w:val="0"/>
        <w:autoSpaceDN w:val="0"/>
        <w:adjustRightInd w:val="0"/>
        <w:ind w:left="1440" w:hanging="720"/>
      </w:pPr>
      <w:r>
        <w:t xml:space="preserve">(Source:  Amended at 8 Ill. Reg. 7832, effective May 23, 1984) </w:t>
      </w:r>
    </w:p>
    <w:sectPr w:rsidR="000A1D25" w:rsidSect="000A1D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1D25"/>
    <w:rsid w:val="000A1D25"/>
    <w:rsid w:val="001A525A"/>
    <w:rsid w:val="00571C51"/>
    <w:rsid w:val="005C3366"/>
    <w:rsid w:val="00941BCA"/>
    <w:rsid w:val="009D7826"/>
    <w:rsid w:val="00B360C1"/>
    <w:rsid w:val="00D328D7"/>
    <w:rsid w:val="00D6639A"/>
    <w:rsid w:val="00EB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3C6013"/>
  <w15:docId w15:val="{EC6A0B02-F90E-4431-A093-3FF1CA0E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4150</vt:lpstr>
    </vt:vector>
  </TitlesOfParts>
  <Company>State of Illinois</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4150</dc:title>
  <dc:subject/>
  <dc:creator>Illinois General Assembly</dc:creator>
  <cp:keywords/>
  <dc:description/>
  <cp:lastModifiedBy>Shipley, Melissa A.</cp:lastModifiedBy>
  <cp:revision>3</cp:revision>
  <dcterms:created xsi:type="dcterms:W3CDTF">2024-04-18T13:46:00Z</dcterms:created>
  <dcterms:modified xsi:type="dcterms:W3CDTF">2024-04-18T14:13:00Z</dcterms:modified>
</cp:coreProperties>
</file>