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C5D" w:rsidRDefault="000C3C5D" w:rsidP="000C3C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3C5D" w:rsidRDefault="000C3C5D" w:rsidP="000C3C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4000.220  Boundary Fences</w:t>
      </w:r>
      <w:r>
        <w:t xml:space="preserve"> </w:t>
      </w:r>
    </w:p>
    <w:p w:rsidR="000C3C5D" w:rsidRDefault="000C3C5D" w:rsidP="000C3C5D">
      <w:pPr>
        <w:widowControl w:val="0"/>
        <w:autoSpaceDE w:val="0"/>
        <w:autoSpaceDN w:val="0"/>
        <w:adjustRightInd w:val="0"/>
      </w:pPr>
    </w:p>
    <w:p w:rsidR="000C3C5D" w:rsidRDefault="000C3C5D" w:rsidP="000C3C5D">
      <w:pPr>
        <w:widowControl w:val="0"/>
        <w:autoSpaceDE w:val="0"/>
        <w:autoSpaceDN w:val="0"/>
        <w:adjustRightInd w:val="0"/>
      </w:pPr>
      <w:r>
        <w:t xml:space="preserve">Boundary fences that are required by Section 2 of the Fence Act (Ill. Rev. Stat. 1991, ch. 54, par. 2) [765 ILCS 130/2] or barriers that are needed to protect the preserve may be installed as provided in the master plan or management schedule. Generally they shall not be in a form that will create a detrimental effect on movement of wildlife, air circulation, or other natural conditions. </w:t>
      </w:r>
    </w:p>
    <w:p w:rsidR="000C3C5D" w:rsidRDefault="000C3C5D" w:rsidP="000C3C5D">
      <w:pPr>
        <w:widowControl w:val="0"/>
        <w:autoSpaceDE w:val="0"/>
        <w:autoSpaceDN w:val="0"/>
        <w:adjustRightInd w:val="0"/>
      </w:pPr>
    </w:p>
    <w:p w:rsidR="000C3C5D" w:rsidRDefault="000C3C5D" w:rsidP="000C3C5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2290, effective January 31, 1994) </w:t>
      </w:r>
    </w:p>
    <w:sectPr w:rsidR="000C3C5D" w:rsidSect="000C3C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3C5D"/>
    <w:rsid w:val="000C3C5D"/>
    <w:rsid w:val="00452582"/>
    <w:rsid w:val="005C3366"/>
    <w:rsid w:val="00A143D6"/>
    <w:rsid w:val="00FD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4000</vt:lpstr>
    </vt:vector>
  </TitlesOfParts>
  <Company>State of Illinois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4000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