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D7" w:rsidRDefault="00493CD7" w:rsidP="00493C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CD7" w:rsidRDefault="00493CD7" w:rsidP="00493C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3706.1040  Permit Content</w:t>
      </w:r>
      <w:r>
        <w:t xml:space="preserve"> </w:t>
      </w:r>
    </w:p>
    <w:p w:rsidR="00493CD7" w:rsidRDefault="00493CD7" w:rsidP="00493CD7">
      <w:pPr>
        <w:widowControl w:val="0"/>
        <w:autoSpaceDE w:val="0"/>
        <w:autoSpaceDN w:val="0"/>
        <w:adjustRightInd w:val="0"/>
      </w:pPr>
    </w:p>
    <w:p w:rsidR="00493CD7" w:rsidRDefault="00493CD7" w:rsidP="00493CD7">
      <w:pPr>
        <w:widowControl w:val="0"/>
        <w:autoSpaceDE w:val="0"/>
        <w:autoSpaceDN w:val="0"/>
        <w:adjustRightInd w:val="0"/>
      </w:pPr>
      <w:r>
        <w:t xml:space="preserve">Every permit issued under the provisions of this Article shall contain a description of the variance, an estimate of the expected flood losses or actuarial rate flood insurance premiums, and a requirement for notice of the estimated flood losses or premiums to any prospective buyer. </w:t>
      </w:r>
    </w:p>
    <w:p w:rsidR="00493CD7" w:rsidRDefault="00493CD7" w:rsidP="00493CD7">
      <w:pPr>
        <w:widowControl w:val="0"/>
        <w:autoSpaceDE w:val="0"/>
        <w:autoSpaceDN w:val="0"/>
        <w:adjustRightInd w:val="0"/>
      </w:pPr>
    </w:p>
    <w:p w:rsidR="00493CD7" w:rsidRDefault="00493CD7" w:rsidP="00493C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29, p. 192, effective July 21, 1979) </w:t>
      </w:r>
    </w:p>
    <w:sectPr w:rsidR="00493CD7" w:rsidSect="00493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CD7"/>
    <w:rsid w:val="000A176F"/>
    <w:rsid w:val="00493CD7"/>
    <w:rsid w:val="005C3366"/>
    <w:rsid w:val="007922E4"/>
    <w:rsid w:val="007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