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BB" w:rsidRDefault="003B32BB" w:rsidP="003B32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2BB" w:rsidRDefault="003B32BB" w:rsidP="003B32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3706.310  Regulatory Flood</w:t>
      </w:r>
      <w:r>
        <w:t xml:space="preserve"> </w:t>
      </w:r>
    </w:p>
    <w:p w:rsidR="003B32BB" w:rsidRDefault="003B32BB" w:rsidP="003B32BB">
      <w:pPr>
        <w:widowControl w:val="0"/>
        <w:autoSpaceDE w:val="0"/>
        <w:autoSpaceDN w:val="0"/>
        <w:adjustRightInd w:val="0"/>
      </w:pPr>
    </w:p>
    <w:p w:rsidR="003B32BB" w:rsidRDefault="003B32BB" w:rsidP="003B32BB">
      <w:pPr>
        <w:widowControl w:val="0"/>
        <w:autoSpaceDE w:val="0"/>
        <w:autoSpaceDN w:val="0"/>
        <w:adjustRightInd w:val="0"/>
      </w:pPr>
      <w:r>
        <w:t xml:space="preserve">The regulatory flood generally has an average frequency of the 100-year recurrence interval flood, based on reasonable anticipated future urbanization of the watershed. </w:t>
      </w:r>
    </w:p>
    <w:sectPr w:rsidR="003B32BB" w:rsidSect="003B3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2BB"/>
    <w:rsid w:val="00375AF6"/>
    <w:rsid w:val="003B32BB"/>
    <w:rsid w:val="00543A8C"/>
    <w:rsid w:val="005C3366"/>
    <w:rsid w:val="008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