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F2" w:rsidRDefault="00AA5BF2" w:rsidP="00AA5B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5BF2" w:rsidRDefault="00AA5BF2" w:rsidP="00AA5B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3040.30  Assistance Formula</w:t>
      </w:r>
      <w:r>
        <w:t xml:space="preserve"> </w:t>
      </w:r>
    </w:p>
    <w:p w:rsidR="00AA5BF2" w:rsidRDefault="00AA5BF2" w:rsidP="00AA5BF2">
      <w:pPr>
        <w:widowControl w:val="0"/>
        <w:autoSpaceDE w:val="0"/>
        <w:autoSpaceDN w:val="0"/>
        <w:adjustRightInd w:val="0"/>
      </w:pPr>
    </w:p>
    <w:p w:rsidR="00AA5BF2" w:rsidRDefault="00AA5BF2" w:rsidP="00AA5BF2">
      <w:pPr>
        <w:widowControl w:val="0"/>
        <w:autoSpaceDE w:val="0"/>
        <w:autoSpaceDN w:val="0"/>
        <w:adjustRightInd w:val="0"/>
      </w:pPr>
      <w:r>
        <w:t xml:space="preserve">The grant program shall operate on a reimbursement basis providing up to a maximum of 50% funding assistance on total approved project costs.  Maximum grant awards for development projects shall be limited to $200,000 per request.  No grant limit is established for acquisition projects. </w:t>
      </w:r>
    </w:p>
    <w:sectPr w:rsidR="00AA5BF2" w:rsidSect="00AA5B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5BF2"/>
    <w:rsid w:val="00187F41"/>
    <w:rsid w:val="005C3366"/>
    <w:rsid w:val="00A1564D"/>
    <w:rsid w:val="00AA5BF2"/>
    <w:rsid w:val="00C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3040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3040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