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01E" w:rsidRDefault="00C4401E" w:rsidP="00C440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401E" w:rsidRDefault="00C4401E" w:rsidP="00C440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2530.482  Disposition</w:t>
      </w:r>
      <w:r>
        <w:t xml:space="preserve"> </w:t>
      </w:r>
    </w:p>
    <w:p w:rsidR="00C4401E" w:rsidRDefault="00C4401E" w:rsidP="00C4401E">
      <w:pPr>
        <w:widowControl w:val="0"/>
        <w:autoSpaceDE w:val="0"/>
        <w:autoSpaceDN w:val="0"/>
        <w:adjustRightInd w:val="0"/>
      </w:pPr>
    </w:p>
    <w:p w:rsidR="00C4401E" w:rsidRDefault="00C4401E" w:rsidP="00C4401E">
      <w:pPr>
        <w:widowControl w:val="0"/>
        <w:autoSpaceDE w:val="0"/>
        <w:autoSpaceDN w:val="0"/>
        <w:adjustRightInd w:val="0"/>
      </w:pPr>
      <w:r>
        <w:t xml:space="preserve">Unless precluded by </w:t>
      </w:r>
      <w:r w:rsidR="003D0186">
        <w:t>law</w:t>
      </w:r>
      <w:r>
        <w:t xml:space="preserve">, the Department may dispose of a contested case by stipulation, agreed settlement, consent order, or default. </w:t>
      </w:r>
    </w:p>
    <w:p w:rsidR="00C4401E" w:rsidRDefault="00C4401E" w:rsidP="00C4401E">
      <w:pPr>
        <w:widowControl w:val="0"/>
        <w:autoSpaceDE w:val="0"/>
        <w:autoSpaceDN w:val="0"/>
        <w:adjustRightInd w:val="0"/>
      </w:pPr>
    </w:p>
    <w:p w:rsidR="003D0186" w:rsidRPr="00D55B37" w:rsidRDefault="003D018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ED5D28">
        <w:t>9990</w:t>
      </w:r>
      <w:r w:rsidRPr="00D55B37">
        <w:t xml:space="preserve">, effective </w:t>
      </w:r>
      <w:r w:rsidR="00ED5D28">
        <w:t>July 6, 2004</w:t>
      </w:r>
      <w:r w:rsidRPr="00D55B37">
        <w:t>)</w:t>
      </w:r>
    </w:p>
    <w:sectPr w:rsidR="003D0186" w:rsidRPr="00D55B37" w:rsidSect="00C440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401E"/>
    <w:rsid w:val="003D0186"/>
    <w:rsid w:val="005C3366"/>
    <w:rsid w:val="0074267F"/>
    <w:rsid w:val="008D3D91"/>
    <w:rsid w:val="00C4401E"/>
    <w:rsid w:val="00D54929"/>
    <w:rsid w:val="00DC617F"/>
    <w:rsid w:val="00E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D0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D0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