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51B" w:rsidRDefault="006A051B" w:rsidP="006A05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051B" w:rsidRDefault="006A051B" w:rsidP="006A051B">
      <w:pPr>
        <w:widowControl w:val="0"/>
        <w:autoSpaceDE w:val="0"/>
        <w:autoSpaceDN w:val="0"/>
        <w:adjustRightInd w:val="0"/>
      </w:pPr>
      <w:r>
        <w:t xml:space="preserve">AUTHORITY:  Implementing and authorized by the State Forest Act [525 ILCS 40] and by Section 1.12 of the Wildlife Code [520 ILCS 5] and by Sections 63a1, 63a2 and 63a8 of the Civil Administrative Code of Illinois [20 ILCS 805/63a1, 63a2 and 63a8]. </w:t>
      </w:r>
    </w:p>
    <w:sectPr w:rsidR="006A051B" w:rsidSect="006A051B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051B"/>
    <w:rsid w:val="006A051B"/>
    <w:rsid w:val="0080345B"/>
    <w:rsid w:val="00DA3804"/>
    <w:rsid w:val="00E32076"/>
    <w:rsid w:val="00EE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State Forest Act [525 ILCS 40] and by Section 1</vt:lpstr>
    </vt:vector>
  </TitlesOfParts>
  <Company>State of Illinois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State Forest Act [525 ILCS 40] and by Section 1</dc:title>
  <dc:subject/>
  <dc:creator>ThomasVD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