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6915" w14:textId="77777777" w:rsidR="001B26FD" w:rsidRPr="001B26FD" w:rsidRDefault="001B26FD" w:rsidP="003C588E">
      <w:pPr>
        <w:widowControl w:val="0"/>
      </w:pPr>
    </w:p>
    <w:p w14:paraId="2CE4F590" w14:textId="77777777" w:rsidR="001B26FD" w:rsidRDefault="001B26FD" w:rsidP="003C588E">
      <w:pPr>
        <w:widowControl w:val="0"/>
      </w:pPr>
      <w:r>
        <w:rPr>
          <w:b/>
        </w:rPr>
        <w:t>Section 1536.77  Invasive and Exotic Species Control</w:t>
      </w:r>
    </w:p>
    <w:p w14:paraId="66AD7239" w14:textId="77777777" w:rsidR="001B26FD" w:rsidRDefault="001B26FD" w:rsidP="003C588E">
      <w:pPr>
        <w:widowControl w:val="0"/>
      </w:pPr>
    </w:p>
    <w:p w14:paraId="2703D78A" w14:textId="77533DDC" w:rsidR="001B26FD" w:rsidRDefault="001B26FD" w:rsidP="00B847B6">
      <w:pPr>
        <w:widowControl w:val="0"/>
      </w:pPr>
      <w:r>
        <w:t xml:space="preserve">The purpose of </w:t>
      </w:r>
      <w:r w:rsidR="00EA6AC3">
        <w:t>controlling invasive and exotic species</w:t>
      </w:r>
      <w:r>
        <w:t xml:space="preserve"> is to eradicate or control the establishment and spread of exotic and invasive plants that threaten forest regeneration, productivity, native plant diversity and wildlife habitat.</w:t>
      </w:r>
      <w:r w:rsidR="00F8655B">
        <w:t xml:space="preserve">  These practices are priority practices for cost-share funding.</w:t>
      </w:r>
    </w:p>
    <w:p w14:paraId="59709303" w14:textId="77777777" w:rsidR="001B26FD" w:rsidRDefault="001B26FD" w:rsidP="00B847B6">
      <w:pPr>
        <w:widowControl w:val="0"/>
      </w:pPr>
    </w:p>
    <w:p w14:paraId="4EC4B7AD" w14:textId="77777777" w:rsidR="001B26FD" w:rsidRDefault="001B26FD" w:rsidP="00B847B6">
      <w:pPr>
        <w:widowControl w:val="0"/>
        <w:ind w:left="1440" w:hanging="720"/>
      </w:pPr>
      <w:r>
        <w:t>a)</w:t>
      </w:r>
      <w:r>
        <w:tab/>
        <w:t xml:space="preserve">Cost-share is authorized for the control of species that are considered a biological threat to the successful establishment or management of the forest flora.  </w:t>
      </w:r>
      <w:r w:rsidR="00C81FCE">
        <w:t>Target s</w:t>
      </w:r>
      <w:r>
        <w:t xml:space="preserve">pecies </w:t>
      </w:r>
      <w:r w:rsidR="00C81FCE">
        <w:t>must</w:t>
      </w:r>
      <w:r>
        <w:t xml:space="preserve"> be identified in the Plan.</w:t>
      </w:r>
    </w:p>
    <w:p w14:paraId="6BC73CAA" w14:textId="77777777" w:rsidR="001B26FD" w:rsidRDefault="001B26FD" w:rsidP="00B847B6">
      <w:pPr>
        <w:widowControl w:val="0"/>
      </w:pPr>
    </w:p>
    <w:p w14:paraId="556F3746" w14:textId="315BC01B" w:rsidR="001B26FD" w:rsidRDefault="001B26FD" w:rsidP="00B847B6">
      <w:pPr>
        <w:widowControl w:val="0"/>
        <w:ind w:left="1440" w:hanging="720"/>
      </w:pPr>
      <w:r>
        <w:t>b)</w:t>
      </w:r>
      <w:r>
        <w:tab/>
        <w:t>Invasive and Exotic Species Control.  The flat rate payment for this practice is a variable amount ranging from $</w:t>
      </w:r>
      <w:r w:rsidR="00F8655B">
        <w:t>90</w:t>
      </w:r>
      <w:r>
        <w:t xml:space="preserve"> to $</w:t>
      </w:r>
      <w:r w:rsidR="00F8655B">
        <w:t>555</w:t>
      </w:r>
      <w:r>
        <w:t xml:space="preserve"> per acre.  The base cost is a variable amount ranging from $</w:t>
      </w:r>
      <w:r w:rsidR="00F8655B">
        <w:t>120</w:t>
      </w:r>
      <w:r>
        <w:t xml:space="preserve"> to $</w:t>
      </w:r>
      <w:r w:rsidR="00F8655B">
        <w:t>740</w:t>
      </w:r>
      <w:r>
        <w:t xml:space="preserve"> per acre.  Treatment is to be applied</w:t>
      </w:r>
      <w:r w:rsidR="00A348F0">
        <w:t xml:space="preserve"> to</w:t>
      </w:r>
      <w:r>
        <w:t xml:space="preserve">/attempted </w:t>
      </w:r>
      <w:r w:rsidR="00A348F0">
        <w:t xml:space="preserve">for </w:t>
      </w:r>
      <w:r>
        <w:t>all target species present and result in a minimum mortality or effective control rate of 85%.</w:t>
      </w:r>
    </w:p>
    <w:p w14:paraId="26A85977" w14:textId="77777777" w:rsidR="001B26FD" w:rsidRDefault="001B26FD" w:rsidP="00B847B6">
      <w:pPr>
        <w:widowControl w:val="0"/>
        <w:ind w:left="1440" w:hanging="1440"/>
      </w:pPr>
    </w:p>
    <w:p w14:paraId="237CE653" w14:textId="77777777" w:rsidR="001B26FD" w:rsidRDefault="001B26FD" w:rsidP="00B847B6">
      <w:pPr>
        <w:widowControl w:val="0"/>
        <w:ind w:left="2160" w:hanging="720"/>
      </w:pPr>
      <w:r>
        <w:t>1)</w:t>
      </w:r>
      <w:r>
        <w:tab/>
        <w:t>Cost-share categories and flat rate payments are:</w:t>
      </w:r>
    </w:p>
    <w:p w14:paraId="099CCB8F" w14:textId="77777777" w:rsidR="001B26FD" w:rsidRDefault="001B26FD" w:rsidP="0086572B">
      <w:pPr>
        <w:widowControl w:val="0"/>
      </w:pPr>
    </w:p>
    <w:tbl>
      <w:tblPr>
        <w:tblW w:w="6750" w:type="dxa"/>
        <w:tblInd w:w="2132" w:type="dxa"/>
        <w:tblLayout w:type="fixed"/>
        <w:tblLook w:val="0000" w:firstRow="0" w:lastRow="0" w:firstColumn="0" w:lastColumn="0" w:noHBand="0" w:noVBand="0"/>
      </w:tblPr>
      <w:tblGrid>
        <w:gridCol w:w="540"/>
        <w:gridCol w:w="3636"/>
        <w:gridCol w:w="1287"/>
        <w:gridCol w:w="1287"/>
      </w:tblGrid>
      <w:tr w:rsidR="001E3FCE" w14:paraId="4C8310AF" w14:textId="77777777" w:rsidTr="00210ADE">
        <w:tc>
          <w:tcPr>
            <w:tcW w:w="540" w:type="dxa"/>
          </w:tcPr>
          <w:p w14:paraId="5F39D269" w14:textId="77777777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3636" w:type="dxa"/>
            <w:vAlign w:val="bottom"/>
          </w:tcPr>
          <w:p w14:paraId="4849FF74" w14:textId="77777777" w:rsidR="001E3FCE" w:rsidRDefault="001E3FCE" w:rsidP="00210ADE">
            <w:pPr>
              <w:widowControl w:val="0"/>
              <w:autoSpaceDE w:val="0"/>
              <w:autoSpaceDN w:val="0"/>
              <w:adjustRightInd w:val="0"/>
              <w:ind w:hanging="620"/>
              <w:jc w:val="center"/>
            </w:pPr>
            <w:r>
              <w:t>Category</w:t>
            </w:r>
          </w:p>
        </w:tc>
        <w:tc>
          <w:tcPr>
            <w:tcW w:w="1287" w:type="dxa"/>
            <w:vAlign w:val="center"/>
          </w:tcPr>
          <w:p w14:paraId="59D9E1E7" w14:textId="77777777" w:rsidR="001E3FCE" w:rsidRDefault="001E3FCE" w:rsidP="00210ADE">
            <w:pPr>
              <w:widowControl w:val="0"/>
              <w:autoSpaceDE w:val="0"/>
              <w:autoSpaceDN w:val="0"/>
              <w:adjustRightInd w:val="0"/>
              <w:ind w:left="-18" w:right="-81"/>
              <w:jc w:val="center"/>
            </w:pPr>
            <w:r>
              <w:t>Flat Rate/A.</w:t>
            </w:r>
          </w:p>
        </w:tc>
        <w:tc>
          <w:tcPr>
            <w:tcW w:w="1287" w:type="dxa"/>
            <w:vAlign w:val="center"/>
          </w:tcPr>
          <w:p w14:paraId="16BC2FD1" w14:textId="77777777" w:rsidR="001E3FCE" w:rsidRDefault="001E3FCE" w:rsidP="00210ADE">
            <w:pPr>
              <w:widowControl w:val="0"/>
              <w:autoSpaceDE w:val="0"/>
              <w:autoSpaceDN w:val="0"/>
              <w:adjustRightInd w:val="0"/>
              <w:ind w:left="-18" w:right="-108"/>
              <w:jc w:val="center"/>
            </w:pPr>
            <w:r>
              <w:t>Base Cost/A.</w:t>
            </w:r>
          </w:p>
        </w:tc>
      </w:tr>
      <w:tr w:rsidR="001E3FCE" w14:paraId="13D604C9" w14:textId="77777777" w:rsidTr="00FD2D54">
        <w:tc>
          <w:tcPr>
            <w:tcW w:w="540" w:type="dxa"/>
          </w:tcPr>
          <w:p w14:paraId="5B23E669" w14:textId="77777777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90"/>
            </w:pPr>
          </w:p>
        </w:tc>
        <w:tc>
          <w:tcPr>
            <w:tcW w:w="3636" w:type="dxa"/>
            <w:vAlign w:val="bottom"/>
          </w:tcPr>
          <w:p w14:paraId="0B4B2603" w14:textId="77777777" w:rsidR="001E3FCE" w:rsidRDefault="001E3FCE" w:rsidP="00FD2D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74" w:type="dxa"/>
            <w:gridSpan w:val="2"/>
            <w:vAlign w:val="bottom"/>
          </w:tcPr>
          <w:p w14:paraId="5CFDE8BA" w14:textId="77777777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1E3FCE" w14:paraId="3BDC2201" w14:textId="77777777" w:rsidTr="001E3FCE">
        <w:trPr>
          <w:trHeight w:val="1044"/>
        </w:trPr>
        <w:tc>
          <w:tcPr>
            <w:tcW w:w="540" w:type="dxa"/>
          </w:tcPr>
          <w:p w14:paraId="14824500" w14:textId="77777777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A)</w:t>
            </w:r>
          </w:p>
        </w:tc>
        <w:tc>
          <w:tcPr>
            <w:tcW w:w="3636" w:type="dxa"/>
          </w:tcPr>
          <w:p w14:paraId="649DCA65" w14:textId="77777777" w:rsidR="001E3FCE" w:rsidRDefault="001E3FCE" w:rsidP="001E3FCE">
            <w:pPr>
              <w:widowControl w:val="0"/>
              <w:autoSpaceDE w:val="0"/>
              <w:autoSpaceDN w:val="0"/>
              <w:adjustRightInd w:val="0"/>
            </w:pPr>
            <w:r>
              <w:t>Less than 10% of treatment area occupied by target species; brush mowing may be used</w:t>
            </w:r>
          </w:p>
        </w:tc>
        <w:tc>
          <w:tcPr>
            <w:tcW w:w="1287" w:type="dxa"/>
          </w:tcPr>
          <w:p w14:paraId="146A63C7" w14:textId="27E58AE6" w:rsidR="001E3FCE" w:rsidRDefault="001E3FCE" w:rsidP="00FD2D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F8655B">
              <w:t>90</w:t>
            </w:r>
          </w:p>
        </w:tc>
        <w:tc>
          <w:tcPr>
            <w:tcW w:w="1287" w:type="dxa"/>
          </w:tcPr>
          <w:p w14:paraId="50829006" w14:textId="2C0E7126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$</w:t>
            </w:r>
            <w:r w:rsidR="00F8655B">
              <w:t>120</w:t>
            </w:r>
          </w:p>
        </w:tc>
      </w:tr>
      <w:tr w:rsidR="001E3FCE" w14:paraId="6C1F2F40" w14:textId="77777777" w:rsidTr="001E3FCE">
        <w:trPr>
          <w:trHeight w:val="765"/>
        </w:trPr>
        <w:tc>
          <w:tcPr>
            <w:tcW w:w="540" w:type="dxa"/>
          </w:tcPr>
          <w:p w14:paraId="07114274" w14:textId="77777777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B)</w:t>
            </w:r>
          </w:p>
        </w:tc>
        <w:tc>
          <w:tcPr>
            <w:tcW w:w="3636" w:type="dxa"/>
          </w:tcPr>
          <w:p w14:paraId="3C2F178F" w14:textId="77777777" w:rsidR="001E3FCE" w:rsidRDefault="001E3FCE" w:rsidP="001E3FCE">
            <w:pPr>
              <w:widowControl w:val="0"/>
              <w:autoSpaceDE w:val="0"/>
              <w:autoSpaceDN w:val="0"/>
              <w:adjustRightInd w:val="0"/>
            </w:pPr>
            <w:r>
              <w:t>10% to 25% of treatment area occupied by target species</w:t>
            </w:r>
          </w:p>
        </w:tc>
        <w:tc>
          <w:tcPr>
            <w:tcW w:w="1287" w:type="dxa"/>
          </w:tcPr>
          <w:p w14:paraId="75A7A45C" w14:textId="41177F3E" w:rsidR="001E3FCE" w:rsidRDefault="001E3FCE" w:rsidP="00FD2D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F8655B">
              <w:t>180</w:t>
            </w:r>
          </w:p>
        </w:tc>
        <w:tc>
          <w:tcPr>
            <w:tcW w:w="1287" w:type="dxa"/>
          </w:tcPr>
          <w:p w14:paraId="3B594E57" w14:textId="3D794F75" w:rsidR="001E3FCE" w:rsidRDefault="001E3FCE" w:rsidP="001E3FC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$</w:t>
            </w:r>
            <w:r w:rsidR="00F8655B">
              <w:t>240</w:t>
            </w:r>
          </w:p>
        </w:tc>
      </w:tr>
      <w:tr w:rsidR="001E3FCE" w14:paraId="7234F0AC" w14:textId="77777777" w:rsidTr="001E3FCE">
        <w:trPr>
          <w:trHeight w:val="783"/>
        </w:trPr>
        <w:tc>
          <w:tcPr>
            <w:tcW w:w="540" w:type="dxa"/>
          </w:tcPr>
          <w:p w14:paraId="0364ADAE" w14:textId="77777777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C)</w:t>
            </w:r>
          </w:p>
        </w:tc>
        <w:tc>
          <w:tcPr>
            <w:tcW w:w="3636" w:type="dxa"/>
          </w:tcPr>
          <w:p w14:paraId="48679067" w14:textId="77777777" w:rsidR="001E3FCE" w:rsidRDefault="001E3FCE" w:rsidP="001E3FCE">
            <w:pPr>
              <w:widowControl w:val="0"/>
              <w:autoSpaceDE w:val="0"/>
              <w:autoSpaceDN w:val="0"/>
              <w:adjustRightInd w:val="0"/>
            </w:pPr>
            <w:r>
              <w:t>26% to 50% of treatment area occupied by target species</w:t>
            </w:r>
          </w:p>
        </w:tc>
        <w:tc>
          <w:tcPr>
            <w:tcW w:w="1287" w:type="dxa"/>
          </w:tcPr>
          <w:p w14:paraId="481B8EFE" w14:textId="71E9FE7D" w:rsidR="001E3FCE" w:rsidRDefault="001E3FCE" w:rsidP="00FD2D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F8655B">
              <w:t>240</w:t>
            </w:r>
          </w:p>
        </w:tc>
        <w:tc>
          <w:tcPr>
            <w:tcW w:w="1287" w:type="dxa"/>
          </w:tcPr>
          <w:p w14:paraId="64497C5D" w14:textId="38D4EA16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$</w:t>
            </w:r>
            <w:r w:rsidR="00F8655B">
              <w:t>320</w:t>
            </w:r>
          </w:p>
        </w:tc>
      </w:tr>
      <w:tr w:rsidR="001E3FCE" w14:paraId="41AE4D73" w14:textId="77777777" w:rsidTr="001E3FCE">
        <w:trPr>
          <w:trHeight w:val="765"/>
        </w:trPr>
        <w:tc>
          <w:tcPr>
            <w:tcW w:w="540" w:type="dxa"/>
          </w:tcPr>
          <w:p w14:paraId="7401DE1B" w14:textId="77777777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D)</w:t>
            </w:r>
          </w:p>
        </w:tc>
        <w:tc>
          <w:tcPr>
            <w:tcW w:w="3636" w:type="dxa"/>
          </w:tcPr>
          <w:p w14:paraId="06B2BA1B" w14:textId="77777777" w:rsidR="001E3FCE" w:rsidRDefault="001E3FCE" w:rsidP="001E3FCE">
            <w:pPr>
              <w:widowControl w:val="0"/>
              <w:autoSpaceDE w:val="0"/>
              <w:autoSpaceDN w:val="0"/>
              <w:adjustRightInd w:val="0"/>
            </w:pPr>
            <w:r>
              <w:t>51% to 75% of treatment area occupied by target species</w:t>
            </w:r>
          </w:p>
        </w:tc>
        <w:tc>
          <w:tcPr>
            <w:tcW w:w="1287" w:type="dxa"/>
          </w:tcPr>
          <w:p w14:paraId="119A60DF" w14:textId="5B251E64" w:rsidR="001E3FCE" w:rsidRDefault="001E3FCE" w:rsidP="00FD2D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F8655B">
              <w:t>375</w:t>
            </w:r>
          </w:p>
        </w:tc>
        <w:tc>
          <w:tcPr>
            <w:tcW w:w="1287" w:type="dxa"/>
          </w:tcPr>
          <w:p w14:paraId="6A83144A" w14:textId="3A0BB859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$</w:t>
            </w:r>
            <w:r w:rsidR="00F8655B">
              <w:t>500</w:t>
            </w:r>
          </w:p>
        </w:tc>
      </w:tr>
      <w:tr w:rsidR="001E3FCE" w14:paraId="3CEADF66" w14:textId="77777777" w:rsidTr="00FD2D54">
        <w:trPr>
          <w:trHeight w:val="387"/>
        </w:trPr>
        <w:tc>
          <w:tcPr>
            <w:tcW w:w="540" w:type="dxa"/>
          </w:tcPr>
          <w:p w14:paraId="56DE0433" w14:textId="77777777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90"/>
            </w:pPr>
            <w:r>
              <w:t>E)</w:t>
            </w:r>
          </w:p>
        </w:tc>
        <w:tc>
          <w:tcPr>
            <w:tcW w:w="3636" w:type="dxa"/>
          </w:tcPr>
          <w:p w14:paraId="1E54070D" w14:textId="77777777" w:rsidR="001E3FCE" w:rsidRDefault="001E3FCE" w:rsidP="001E3FCE">
            <w:pPr>
              <w:widowControl w:val="0"/>
              <w:autoSpaceDE w:val="0"/>
              <w:autoSpaceDN w:val="0"/>
              <w:adjustRightInd w:val="0"/>
            </w:pPr>
            <w:r>
              <w:t>More than 75% of treatment area occupied by target species</w:t>
            </w:r>
          </w:p>
        </w:tc>
        <w:tc>
          <w:tcPr>
            <w:tcW w:w="1287" w:type="dxa"/>
          </w:tcPr>
          <w:p w14:paraId="189F2E21" w14:textId="6EABF5E3" w:rsidR="001E3FCE" w:rsidRDefault="001E3FCE" w:rsidP="00FD2D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</w:t>
            </w:r>
            <w:r w:rsidR="00F8655B">
              <w:t>555</w:t>
            </w:r>
          </w:p>
        </w:tc>
        <w:tc>
          <w:tcPr>
            <w:tcW w:w="1287" w:type="dxa"/>
          </w:tcPr>
          <w:p w14:paraId="2DB96881" w14:textId="5604F136" w:rsidR="001E3FCE" w:rsidRDefault="001E3FCE" w:rsidP="00FD2D5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$</w:t>
            </w:r>
            <w:r w:rsidR="00F8655B">
              <w:t>740</w:t>
            </w:r>
          </w:p>
        </w:tc>
      </w:tr>
    </w:tbl>
    <w:p w14:paraId="19893149" w14:textId="77777777" w:rsidR="001E3FCE" w:rsidRDefault="001E3FCE" w:rsidP="00B847B6">
      <w:pPr>
        <w:widowControl w:val="0"/>
        <w:ind w:left="1440" w:hanging="1440"/>
      </w:pPr>
    </w:p>
    <w:p w14:paraId="3F348035" w14:textId="77777777" w:rsidR="001B26FD" w:rsidRDefault="001B26FD" w:rsidP="00B847B6">
      <w:pPr>
        <w:widowControl w:val="0"/>
        <w:ind w:left="2160" w:hanging="720"/>
      </w:pPr>
      <w:r>
        <w:t>2)</w:t>
      </w:r>
      <w:r>
        <w:tab/>
        <w:t>Treatment methods can be combined and may be accomplished mechanically and/or by herbicide application, cutting, pulling, burning or other means.  Cost-share may be authorized</w:t>
      </w:r>
      <w:r w:rsidR="00A348F0">
        <w:t xml:space="preserve"> for second and third</w:t>
      </w:r>
      <w:r>
        <w:t xml:space="preserve"> treatment</w:t>
      </w:r>
      <w:r w:rsidR="00A348F0">
        <w:t>s</w:t>
      </w:r>
      <w:r>
        <w:t xml:space="preserve"> to </w:t>
      </w:r>
      <w:r w:rsidR="00A348F0">
        <w:t xml:space="preserve">the </w:t>
      </w:r>
      <w:r>
        <w:t>same treatment area within a 10-year period</w:t>
      </w:r>
      <w:r w:rsidR="00A348F0">
        <w:t>,</w:t>
      </w:r>
      <w:r>
        <w:t xml:space="preserve"> as outlined in the Plan.</w:t>
      </w:r>
    </w:p>
    <w:p w14:paraId="5C273E0E" w14:textId="77777777" w:rsidR="001B26FD" w:rsidRDefault="001B26FD" w:rsidP="00B847B6">
      <w:pPr>
        <w:widowControl w:val="0"/>
      </w:pPr>
    </w:p>
    <w:p w14:paraId="68847FE4" w14:textId="77777777" w:rsidR="001B26FD" w:rsidRDefault="001B26FD" w:rsidP="0086572B">
      <w:pPr>
        <w:widowControl w:val="0"/>
        <w:ind w:left="2880" w:hanging="720"/>
      </w:pPr>
      <w:r>
        <w:t>A)</w:t>
      </w:r>
      <w:r>
        <w:tab/>
        <w:t xml:space="preserve">Additional treatment of Category </w:t>
      </w:r>
      <w:r w:rsidR="00A348F0">
        <w:t>D</w:t>
      </w:r>
      <w:r>
        <w:t xml:space="preserve"> or </w:t>
      </w:r>
      <w:r w:rsidR="00A348F0">
        <w:t>E</w:t>
      </w:r>
      <w:r>
        <w:t xml:space="preserve"> areas may be cost-shared no higher than Category </w:t>
      </w:r>
      <w:r w:rsidR="00A348F0">
        <w:t>B</w:t>
      </w:r>
      <w:r>
        <w:t>.</w:t>
      </w:r>
    </w:p>
    <w:p w14:paraId="3E2B41BE" w14:textId="77777777" w:rsidR="001B26FD" w:rsidRDefault="001B26FD" w:rsidP="00B847B6">
      <w:pPr>
        <w:widowControl w:val="0"/>
      </w:pPr>
    </w:p>
    <w:p w14:paraId="1C85EFCA" w14:textId="77777777" w:rsidR="001B26FD" w:rsidRDefault="001B26FD" w:rsidP="00B847B6">
      <w:pPr>
        <w:widowControl w:val="0"/>
        <w:ind w:left="2880" w:hanging="720"/>
      </w:pPr>
      <w:r>
        <w:lastRenderedPageBreak/>
        <w:t>B)</w:t>
      </w:r>
      <w:r>
        <w:tab/>
        <w:t xml:space="preserve">Additional treatment of Category </w:t>
      </w:r>
      <w:r w:rsidR="00A348F0">
        <w:t>B</w:t>
      </w:r>
      <w:r>
        <w:t xml:space="preserve"> or</w:t>
      </w:r>
      <w:r w:rsidR="00A348F0">
        <w:t xml:space="preserve"> C</w:t>
      </w:r>
      <w:r>
        <w:t xml:space="preserve"> areas may be cost-shared no higher than Category </w:t>
      </w:r>
      <w:r w:rsidR="00A348F0">
        <w:t>A</w:t>
      </w:r>
      <w:r>
        <w:t>.</w:t>
      </w:r>
    </w:p>
    <w:p w14:paraId="594CE316" w14:textId="77777777" w:rsidR="001B26FD" w:rsidRDefault="001B26FD" w:rsidP="00B847B6">
      <w:pPr>
        <w:widowControl w:val="0"/>
      </w:pPr>
    </w:p>
    <w:p w14:paraId="75B0A080" w14:textId="16A68640" w:rsidR="001B26FD" w:rsidRDefault="001B26FD" w:rsidP="00B847B6">
      <w:pPr>
        <w:widowControl w:val="0"/>
        <w:ind w:left="2880" w:hanging="720"/>
      </w:pPr>
      <w:r>
        <w:t>C)</w:t>
      </w:r>
      <w:r>
        <w:tab/>
        <w:t>Aerial ap</w:t>
      </w:r>
      <w:r w:rsidR="00A348F0">
        <w:t xml:space="preserve">plications </w:t>
      </w:r>
      <w:r w:rsidR="00F8655B">
        <w:t xml:space="preserve">via fixed wing, helicopter, or drone </w:t>
      </w:r>
      <w:r w:rsidR="00A348F0">
        <w:t>as an initial</w:t>
      </w:r>
      <w:r>
        <w:t xml:space="preserve"> treatment will be cost-shared no higher than Category </w:t>
      </w:r>
      <w:r w:rsidR="00F8655B">
        <w:t>A</w:t>
      </w:r>
      <w:r>
        <w:t>.</w:t>
      </w:r>
    </w:p>
    <w:p w14:paraId="140A42B7" w14:textId="77777777" w:rsidR="009F77FB" w:rsidRDefault="009F77FB" w:rsidP="00093935"/>
    <w:p w14:paraId="68AE35D4" w14:textId="0088A874" w:rsidR="000174EB" w:rsidRPr="00093935" w:rsidRDefault="00F8655B" w:rsidP="00AD4AE9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B75E48">
        <w:t>10446</w:t>
      </w:r>
      <w:r w:rsidRPr="004E27CF">
        <w:t xml:space="preserve">, effective </w:t>
      </w:r>
      <w:r w:rsidR="00B75E48">
        <w:t>July 31, 2025</w:t>
      </w:r>
      <w:r w:rsidRPr="004E27C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6BC8" w14:textId="77777777" w:rsidR="00E74AAC" w:rsidRDefault="00E74AAC">
      <w:r>
        <w:separator/>
      </w:r>
    </w:p>
  </w:endnote>
  <w:endnote w:type="continuationSeparator" w:id="0">
    <w:p w14:paraId="7E6F5877" w14:textId="77777777" w:rsidR="00E74AAC" w:rsidRDefault="00E7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ED90" w14:textId="77777777" w:rsidR="00E74AAC" w:rsidRDefault="00E74AAC">
      <w:r>
        <w:separator/>
      </w:r>
    </w:p>
  </w:footnote>
  <w:footnote w:type="continuationSeparator" w:id="0">
    <w:p w14:paraId="11AEB0E4" w14:textId="77777777" w:rsidR="00E74AAC" w:rsidRDefault="00E74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435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92F"/>
    <w:rsid w:val="00174FFD"/>
    <w:rsid w:val="001830D0"/>
    <w:rsid w:val="00184B52"/>
    <w:rsid w:val="001915E7"/>
    <w:rsid w:val="00193ABB"/>
    <w:rsid w:val="0019502A"/>
    <w:rsid w:val="001A6EDB"/>
    <w:rsid w:val="001B26FD"/>
    <w:rsid w:val="001B5F27"/>
    <w:rsid w:val="001C1D61"/>
    <w:rsid w:val="001C71C2"/>
    <w:rsid w:val="001C7D95"/>
    <w:rsid w:val="001D0EBA"/>
    <w:rsid w:val="001D0EFC"/>
    <w:rsid w:val="001D7BEB"/>
    <w:rsid w:val="001E3074"/>
    <w:rsid w:val="001E3FCE"/>
    <w:rsid w:val="001E630C"/>
    <w:rsid w:val="001F2A01"/>
    <w:rsid w:val="001F572B"/>
    <w:rsid w:val="002015E7"/>
    <w:rsid w:val="002047E2"/>
    <w:rsid w:val="00207D79"/>
    <w:rsid w:val="00210ADE"/>
    <w:rsid w:val="00212682"/>
    <w:rsid w:val="002133B1"/>
    <w:rsid w:val="00213BC5"/>
    <w:rsid w:val="00217ADC"/>
    <w:rsid w:val="0022052A"/>
    <w:rsid w:val="002209C0"/>
    <w:rsid w:val="00220B91"/>
    <w:rsid w:val="0022120D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88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D08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D33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96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4D4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3E0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72B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08C5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7FB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8F0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AE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E48"/>
    <w:rsid w:val="00B77077"/>
    <w:rsid w:val="00B817A1"/>
    <w:rsid w:val="00B839A1"/>
    <w:rsid w:val="00B83B6B"/>
    <w:rsid w:val="00B8444F"/>
    <w:rsid w:val="00B847B6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C5A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FC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AAC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AC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55B"/>
    <w:rsid w:val="00F927D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69966"/>
  <w15:chartTrackingRefBased/>
  <w15:docId w15:val="{AD5DB08A-E9DF-4C82-A844-47E5F520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6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2025-06-23T15:15:00Z</dcterms:created>
  <dcterms:modified xsi:type="dcterms:W3CDTF">2025-08-15T13:02:00Z</dcterms:modified>
</cp:coreProperties>
</file>