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4975" w14:textId="77777777" w:rsidR="00EC6039" w:rsidRDefault="00EC6039" w:rsidP="0011212B"/>
    <w:p w14:paraId="57C6F43B" w14:textId="77777777" w:rsidR="00EC6039" w:rsidRDefault="00EC6039" w:rsidP="0011212B">
      <w:r>
        <w:rPr>
          <w:b/>
          <w:bCs/>
        </w:rPr>
        <w:t>Section 1536.70  Site Preparation for Natural Regeneration</w:t>
      </w:r>
      <w:r>
        <w:t xml:space="preserve"> </w:t>
      </w:r>
    </w:p>
    <w:p w14:paraId="0694567A" w14:textId="77777777" w:rsidR="00EC6039" w:rsidRDefault="00EC6039" w:rsidP="0011212B"/>
    <w:p w14:paraId="03C62E09" w14:textId="14E384C3" w:rsidR="00EC6039" w:rsidRDefault="00EC6039" w:rsidP="0011212B">
      <w:r>
        <w:t xml:space="preserve">The purpose of </w:t>
      </w:r>
      <w:r w:rsidR="00283D94">
        <w:t>site preparation for natural regeneration</w:t>
      </w:r>
      <w:r>
        <w:t xml:space="preserve"> is to </w:t>
      </w:r>
      <w:r w:rsidR="00552913">
        <w:t>create site conditions</w:t>
      </w:r>
      <w:r w:rsidR="00D277F1">
        <w:t>, including adequate light conditions reaching the forest floor,</w:t>
      </w:r>
      <w:r w:rsidR="00552913">
        <w:t xml:space="preserve"> favorable for the establishment, development and/or release of desirable regeneration</w:t>
      </w:r>
      <w:r>
        <w:t xml:space="preserve">. </w:t>
      </w:r>
    </w:p>
    <w:p w14:paraId="64E0CD15" w14:textId="77777777" w:rsidR="00D84112" w:rsidRDefault="00D84112" w:rsidP="0011212B"/>
    <w:p w14:paraId="1F289937" w14:textId="77777777" w:rsidR="00EC6039" w:rsidRDefault="00EC6039" w:rsidP="0011212B">
      <w:pPr>
        <w:ind w:firstLine="720"/>
      </w:pPr>
      <w:r>
        <w:t>a)</w:t>
      </w:r>
      <w:r>
        <w:tab/>
      </w:r>
      <w:r w:rsidR="00552913">
        <w:t>Cost-share</w:t>
      </w:r>
      <w:r>
        <w:t xml:space="preserve"> is not authorized for areas </w:t>
      </w:r>
      <w:r w:rsidR="00D277F1">
        <w:t>totaling</w:t>
      </w:r>
      <w:r>
        <w:t xml:space="preserve"> less than one acre. </w:t>
      </w:r>
    </w:p>
    <w:p w14:paraId="738A8CBF" w14:textId="77777777" w:rsidR="00D84112" w:rsidRDefault="00D84112" w:rsidP="0011212B"/>
    <w:p w14:paraId="25467D50" w14:textId="77777777" w:rsidR="00EC6039" w:rsidRDefault="00EC6039" w:rsidP="0011212B">
      <w:pPr>
        <w:ind w:left="1440" w:hanging="720"/>
      </w:pPr>
      <w:r>
        <w:t>b)</w:t>
      </w:r>
      <w:r>
        <w:tab/>
      </w:r>
      <w:r w:rsidR="00552913">
        <w:t>Cost-share may be</w:t>
      </w:r>
      <w:r>
        <w:t xml:space="preserve"> authorized for </w:t>
      </w:r>
      <w:r w:rsidR="00552913">
        <w:t>planting seed or planting seedlings should</w:t>
      </w:r>
      <w:r>
        <w:t xml:space="preserve"> natural regeneration </w:t>
      </w:r>
      <w:r w:rsidR="00552913">
        <w:t>fail</w:t>
      </w:r>
      <w:r>
        <w:t xml:space="preserve"> to become established to the </w:t>
      </w:r>
      <w:r w:rsidR="00552913">
        <w:t>desired</w:t>
      </w:r>
      <w:r>
        <w:t xml:space="preserve"> stocking level</w:t>
      </w:r>
      <w:r w:rsidR="00D277F1">
        <w:t xml:space="preserve"> within 4 full growing seasons after site preparation for natural regeneration has been implemented</w:t>
      </w:r>
      <w:r>
        <w:t xml:space="preserve">. </w:t>
      </w:r>
    </w:p>
    <w:p w14:paraId="1C423EB5" w14:textId="77777777" w:rsidR="00D84112" w:rsidRDefault="00D84112" w:rsidP="0011212B"/>
    <w:p w14:paraId="346C54A9" w14:textId="77777777" w:rsidR="00552913" w:rsidRDefault="00EC6039" w:rsidP="0011212B">
      <w:pPr>
        <w:ind w:left="1440" w:hanging="720"/>
      </w:pPr>
      <w:r>
        <w:t>c)</w:t>
      </w:r>
      <w:r>
        <w:tab/>
      </w:r>
      <w:r w:rsidR="00552913">
        <w:t xml:space="preserve">This practice should only be prescribed within 15 years </w:t>
      </w:r>
      <w:r w:rsidR="00802F1A">
        <w:t>prior to</w:t>
      </w:r>
      <w:r w:rsidR="00552913">
        <w:t xml:space="preserve"> a schedul</w:t>
      </w:r>
      <w:r w:rsidR="00B55C29">
        <w:t>ed harvest or post-harvest as prescribed in the Plan</w:t>
      </w:r>
      <w:r w:rsidR="00552913">
        <w:t>.</w:t>
      </w:r>
    </w:p>
    <w:p w14:paraId="3AF8A5FF" w14:textId="77777777" w:rsidR="00552913" w:rsidRDefault="00552913" w:rsidP="0011212B"/>
    <w:p w14:paraId="7004EFDD" w14:textId="77777777" w:rsidR="00EC6039" w:rsidRDefault="00552913" w:rsidP="0011212B">
      <w:pPr>
        <w:ind w:firstLine="720"/>
      </w:pPr>
      <w:r>
        <w:t>d)</w:t>
      </w:r>
      <w:r>
        <w:tab/>
      </w:r>
      <w:r w:rsidR="00EC6039">
        <w:t>Cost-Share Rates/</w:t>
      </w:r>
      <w:r>
        <w:t>Specifications</w:t>
      </w:r>
      <w:r w:rsidR="00EC6039">
        <w:t xml:space="preserve"> </w:t>
      </w:r>
    </w:p>
    <w:p w14:paraId="0872F563" w14:textId="77777777" w:rsidR="00D84112" w:rsidRDefault="00D84112" w:rsidP="0011212B"/>
    <w:p w14:paraId="3D3C936F" w14:textId="57DE8E36" w:rsidR="00055212" w:rsidRDefault="00EC6039" w:rsidP="0011212B">
      <w:pPr>
        <w:ind w:left="2160" w:hanging="720"/>
      </w:pPr>
      <w:r>
        <w:t>1)</w:t>
      </w:r>
      <w:r>
        <w:tab/>
      </w:r>
      <w:r w:rsidR="00802F1A">
        <w:t>Tree/Shrub Removal.  The f</w:t>
      </w:r>
      <w:r w:rsidR="00055212">
        <w:t>lat rate payment for this practice is a variable amount ranging from $</w:t>
      </w:r>
      <w:r w:rsidR="00295134">
        <w:t>120</w:t>
      </w:r>
      <w:r w:rsidR="00055212">
        <w:t xml:space="preserve"> to $</w:t>
      </w:r>
      <w:r w:rsidR="00295134">
        <w:t>420</w:t>
      </w:r>
      <w:r w:rsidR="00055212">
        <w:t xml:space="preserve"> per acre.  The base cost is a variable amount ranging from $</w:t>
      </w:r>
      <w:r w:rsidR="00295134">
        <w:t>160</w:t>
      </w:r>
      <w:r w:rsidR="00055212">
        <w:t xml:space="preserve"> to $</w:t>
      </w:r>
      <w:r w:rsidR="00295134">
        <w:t>560</w:t>
      </w:r>
      <w:r w:rsidR="00055212">
        <w:t xml:space="preserve"> per acre.  The Plan preparer </w:t>
      </w:r>
      <w:r w:rsidR="00802F1A">
        <w:t xml:space="preserve">shall </w:t>
      </w:r>
      <w:r w:rsidR="00055212">
        <w:t xml:space="preserve">conduct a careful field inspection of current vegetative cover on the site to determine </w:t>
      </w:r>
      <w:r w:rsidR="00802F1A">
        <w:t xml:space="preserve">the </w:t>
      </w:r>
      <w:r w:rsidR="00055212">
        <w:t xml:space="preserve">appropriate category </w:t>
      </w:r>
      <w:r w:rsidR="00802F1A">
        <w:t>and cost-share rate</w:t>
      </w:r>
      <w:r w:rsidR="00055212">
        <w:t>.</w:t>
      </w:r>
    </w:p>
    <w:p w14:paraId="57F0D334" w14:textId="77777777" w:rsidR="00055212" w:rsidRDefault="00055212" w:rsidP="0011212B"/>
    <w:p w14:paraId="4CE34F7A" w14:textId="77777777" w:rsidR="00055212" w:rsidRDefault="00055212" w:rsidP="00E75AF9">
      <w:pPr>
        <w:ind w:left="1440" w:firstLine="720"/>
      </w:pPr>
      <w:r>
        <w:t>A)</w:t>
      </w:r>
      <w:r>
        <w:tab/>
      </w:r>
      <w:r w:rsidR="00802F1A">
        <w:t>Cost-share Categories and Cost-share R</w:t>
      </w:r>
      <w:r>
        <w:t>ates</w:t>
      </w:r>
    </w:p>
    <w:p w14:paraId="476CD024" w14:textId="77777777" w:rsidR="00055212" w:rsidRDefault="00055212" w:rsidP="0011212B"/>
    <w:tbl>
      <w:tblPr>
        <w:tblW w:w="6282" w:type="dxa"/>
        <w:tblInd w:w="2916" w:type="dxa"/>
        <w:tblLayout w:type="fixed"/>
        <w:tblLook w:val="0000" w:firstRow="0" w:lastRow="0" w:firstColumn="0" w:lastColumn="0" w:noHBand="0" w:noVBand="0"/>
      </w:tblPr>
      <w:tblGrid>
        <w:gridCol w:w="540"/>
        <w:gridCol w:w="3780"/>
        <w:gridCol w:w="972"/>
        <w:gridCol w:w="990"/>
      </w:tblGrid>
      <w:tr w:rsidR="00E32375" w14:paraId="41C1E53B" w14:textId="77777777" w:rsidTr="006E05A6">
        <w:tc>
          <w:tcPr>
            <w:tcW w:w="540" w:type="dxa"/>
          </w:tcPr>
          <w:p w14:paraId="3479C03B" w14:textId="77777777" w:rsidR="00E32375" w:rsidRDefault="00E32375" w:rsidP="0011212B"/>
        </w:tc>
        <w:tc>
          <w:tcPr>
            <w:tcW w:w="3780" w:type="dxa"/>
            <w:vAlign w:val="bottom"/>
          </w:tcPr>
          <w:p w14:paraId="3DD07864" w14:textId="77777777" w:rsidR="00E32375" w:rsidRDefault="00E32375" w:rsidP="00F9401F">
            <w:pPr>
              <w:ind w:hanging="288"/>
              <w:jc w:val="center"/>
            </w:pPr>
            <w:r>
              <w:t>Category</w:t>
            </w:r>
          </w:p>
        </w:tc>
        <w:tc>
          <w:tcPr>
            <w:tcW w:w="972" w:type="dxa"/>
            <w:vAlign w:val="center"/>
          </w:tcPr>
          <w:p w14:paraId="01A76FD2" w14:textId="77777777" w:rsidR="00E32375" w:rsidRDefault="00E32375" w:rsidP="006E05A6">
            <w:pPr>
              <w:jc w:val="center"/>
            </w:pPr>
            <w:r>
              <w:t>Flat Rate/A.</w:t>
            </w:r>
          </w:p>
        </w:tc>
        <w:tc>
          <w:tcPr>
            <w:tcW w:w="990" w:type="dxa"/>
            <w:vAlign w:val="center"/>
          </w:tcPr>
          <w:p w14:paraId="0F797673" w14:textId="77777777" w:rsidR="00E32375" w:rsidRDefault="00E32375" w:rsidP="006E05A6">
            <w:pPr>
              <w:jc w:val="center"/>
            </w:pPr>
            <w:r>
              <w:t>Base Cost/A.</w:t>
            </w:r>
          </w:p>
        </w:tc>
      </w:tr>
      <w:tr w:rsidR="00E32375" w14:paraId="75EE2005" w14:textId="77777777" w:rsidTr="00FD0CF4">
        <w:tc>
          <w:tcPr>
            <w:tcW w:w="540" w:type="dxa"/>
          </w:tcPr>
          <w:p w14:paraId="4683EA67" w14:textId="77777777" w:rsidR="00E32375" w:rsidRDefault="00E32375" w:rsidP="0011212B"/>
        </w:tc>
        <w:tc>
          <w:tcPr>
            <w:tcW w:w="3780" w:type="dxa"/>
            <w:vAlign w:val="bottom"/>
          </w:tcPr>
          <w:p w14:paraId="4DC44B08" w14:textId="77777777" w:rsidR="00E32375" w:rsidRDefault="00E32375" w:rsidP="0011212B"/>
        </w:tc>
        <w:tc>
          <w:tcPr>
            <w:tcW w:w="1962" w:type="dxa"/>
            <w:gridSpan w:val="2"/>
            <w:vAlign w:val="bottom"/>
          </w:tcPr>
          <w:p w14:paraId="7E7F5508" w14:textId="77777777" w:rsidR="00E32375" w:rsidRDefault="00E32375" w:rsidP="0011212B"/>
        </w:tc>
      </w:tr>
      <w:tr w:rsidR="00E32375" w14:paraId="30A2B011" w14:textId="77777777" w:rsidTr="00F9401F">
        <w:trPr>
          <w:trHeight w:val="459"/>
        </w:trPr>
        <w:tc>
          <w:tcPr>
            <w:tcW w:w="540" w:type="dxa"/>
          </w:tcPr>
          <w:p w14:paraId="4B4F536E" w14:textId="77777777" w:rsidR="00E32375" w:rsidRDefault="00E32375" w:rsidP="0011212B">
            <w:proofErr w:type="spellStart"/>
            <w:r>
              <w:t>i</w:t>
            </w:r>
            <w:proofErr w:type="spellEnd"/>
            <w:r>
              <w:t>)</w:t>
            </w:r>
          </w:p>
        </w:tc>
        <w:tc>
          <w:tcPr>
            <w:tcW w:w="3780" w:type="dxa"/>
          </w:tcPr>
          <w:p w14:paraId="3D40874A" w14:textId="77777777" w:rsidR="00E32375" w:rsidRDefault="00E32375" w:rsidP="00D763AD">
            <w:r>
              <w:t>treat fewer than 150 stems</w:t>
            </w:r>
            <w:r w:rsidR="00D763AD">
              <w:t>/A.</w:t>
            </w:r>
          </w:p>
        </w:tc>
        <w:tc>
          <w:tcPr>
            <w:tcW w:w="972" w:type="dxa"/>
          </w:tcPr>
          <w:p w14:paraId="6F930409" w14:textId="1002A249" w:rsidR="00E32375" w:rsidRDefault="00E32375" w:rsidP="00F9401F">
            <w:pPr>
              <w:jc w:val="center"/>
            </w:pPr>
            <w:r>
              <w:t>$</w:t>
            </w:r>
            <w:r w:rsidR="00295134">
              <w:t>120</w:t>
            </w:r>
          </w:p>
        </w:tc>
        <w:tc>
          <w:tcPr>
            <w:tcW w:w="990" w:type="dxa"/>
          </w:tcPr>
          <w:p w14:paraId="760ECB85" w14:textId="501876E0" w:rsidR="00E32375" w:rsidRDefault="00E32375" w:rsidP="00F9401F">
            <w:pPr>
              <w:jc w:val="center"/>
            </w:pPr>
            <w:r>
              <w:t>$</w:t>
            </w:r>
            <w:r w:rsidR="00295134">
              <w:t>160</w:t>
            </w:r>
          </w:p>
        </w:tc>
      </w:tr>
      <w:tr w:rsidR="00E32375" w14:paraId="34FFFF79" w14:textId="77777777" w:rsidTr="006B5D27">
        <w:trPr>
          <w:trHeight w:val="461"/>
        </w:trPr>
        <w:tc>
          <w:tcPr>
            <w:tcW w:w="540" w:type="dxa"/>
          </w:tcPr>
          <w:p w14:paraId="6C4954AA" w14:textId="77777777" w:rsidR="00E32375" w:rsidRDefault="00E32375" w:rsidP="0011212B">
            <w:r>
              <w:t>ii)</w:t>
            </w:r>
          </w:p>
        </w:tc>
        <w:tc>
          <w:tcPr>
            <w:tcW w:w="3780" w:type="dxa"/>
          </w:tcPr>
          <w:p w14:paraId="5441EB74" w14:textId="77777777" w:rsidR="00E32375" w:rsidRDefault="00E32375" w:rsidP="00D763AD">
            <w:r>
              <w:t>treat 150 t</w:t>
            </w:r>
            <w:r w:rsidR="0011212B">
              <w:t>hrough</w:t>
            </w:r>
            <w:r>
              <w:t xml:space="preserve"> 300 stems</w:t>
            </w:r>
            <w:r w:rsidR="00D763AD">
              <w:t>/A.</w:t>
            </w:r>
          </w:p>
        </w:tc>
        <w:tc>
          <w:tcPr>
            <w:tcW w:w="972" w:type="dxa"/>
          </w:tcPr>
          <w:p w14:paraId="7FF297FB" w14:textId="55955D98" w:rsidR="00E32375" w:rsidRDefault="00E32375" w:rsidP="00F9401F">
            <w:pPr>
              <w:jc w:val="center"/>
            </w:pPr>
            <w:r>
              <w:t>$</w:t>
            </w:r>
            <w:r w:rsidR="00295134">
              <w:t>165</w:t>
            </w:r>
          </w:p>
        </w:tc>
        <w:tc>
          <w:tcPr>
            <w:tcW w:w="990" w:type="dxa"/>
          </w:tcPr>
          <w:p w14:paraId="18BD6608" w14:textId="5E347179" w:rsidR="00E32375" w:rsidRDefault="00E32375" w:rsidP="00F9401F">
            <w:pPr>
              <w:jc w:val="center"/>
            </w:pPr>
            <w:r>
              <w:t>$</w:t>
            </w:r>
            <w:r w:rsidR="00295134">
              <w:t>220</w:t>
            </w:r>
          </w:p>
        </w:tc>
      </w:tr>
      <w:tr w:rsidR="00E32375" w14:paraId="3D83D9E3" w14:textId="77777777" w:rsidTr="006B5D27">
        <w:trPr>
          <w:trHeight w:val="461"/>
        </w:trPr>
        <w:tc>
          <w:tcPr>
            <w:tcW w:w="540" w:type="dxa"/>
          </w:tcPr>
          <w:p w14:paraId="5BF89222" w14:textId="77777777" w:rsidR="00E32375" w:rsidRDefault="00E32375" w:rsidP="0011212B">
            <w:r>
              <w:t>iii)</w:t>
            </w:r>
          </w:p>
        </w:tc>
        <w:tc>
          <w:tcPr>
            <w:tcW w:w="3780" w:type="dxa"/>
          </w:tcPr>
          <w:p w14:paraId="6A0AFFA3" w14:textId="77777777" w:rsidR="00E32375" w:rsidRDefault="00E32375" w:rsidP="00D763AD">
            <w:r>
              <w:t>treat 30</w:t>
            </w:r>
            <w:r w:rsidR="00855370">
              <w:t>1</w:t>
            </w:r>
            <w:r>
              <w:t xml:space="preserve"> </w:t>
            </w:r>
            <w:r w:rsidR="00D277F1">
              <w:t xml:space="preserve">through 1000 </w:t>
            </w:r>
            <w:r>
              <w:t>stems</w:t>
            </w:r>
            <w:r w:rsidR="00D763AD">
              <w:t>/A.</w:t>
            </w:r>
          </w:p>
        </w:tc>
        <w:tc>
          <w:tcPr>
            <w:tcW w:w="972" w:type="dxa"/>
          </w:tcPr>
          <w:p w14:paraId="42FDEF86" w14:textId="1CF22652" w:rsidR="00E32375" w:rsidRDefault="00E32375" w:rsidP="00F9401F">
            <w:pPr>
              <w:jc w:val="center"/>
            </w:pPr>
            <w:r>
              <w:t>$</w:t>
            </w:r>
            <w:r w:rsidR="00295134">
              <w:t>240</w:t>
            </w:r>
          </w:p>
        </w:tc>
        <w:tc>
          <w:tcPr>
            <w:tcW w:w="990" w:type="dxa"/>
          </w:tcPr>
          <w:p w14:paraId="22DAC352" w14:textId="04EF09F9" w:rsidR="00E32375" w:rsidRDefault="00E32375" w:rsidP="00F9401F">
            <w:pPr>
              <w:jc w:val="center"/>
            </w:pPr>
            <w:r>
              <w:t>$</w:t>
            </w:r>
            <w:r w:rsidR="00295134">
              <w:t>320</w:t>
            </w:r>
          </w:p>
        </w:tc>
      </w:tr>
      <w:tr w:rsidR="00D277F1" w14:paraId="6079E1CF" w14:textId="77777777" w:rsidTr="006B5D27">
        <w:trPr>
          <w:trHeight w:val="279"/>
        </w:trPr>
        <w:tc>
          <w:tcPr>
            <w:tcW w:w="540" w:type="dxa"/>
          </w:tcPr>
          <w:p w14:paraId="064A9CAE" w14:textId="77777777" w:rsidR="00D277F1" w:rsidRDefault="00D277F1" w:rsidP="0011212B">
            <w:r>
              <w:t>iv)</w:t>
            </w:r>
          </w:p>
        </w:tc>
        <w:tc>
          <w:tcPr>
            <w:tcW w:w="3780" w:type="dxa"/>
          </w:tcPr>
          <w:p w14:paraId="77697010" w14:textId="77777777" w:rsidR="00D277F1" w:rsidRDefault="00D277F1" w:rsidP="00D763AD">
            <w:r>
              <w:t>Treat more than 1000 stems</w:t>
            </w:r>
            <w:r w:rsidR="00D763AD">
              <w:t>/A.</w:t>
            </w:r>
          </w:p>
        </w:tc>
        <w:tc>
          <w:tcPr>
            <w:tcW w:w="972" w:type="dxa"/>
          </w:tcPr>
          <w:p w14:paraId="22FD0023" w14:textId="615E3779" w:rsidR="00D277F1" w:rsidRDefault="00D277F1" w:rsidP="00F9401F">
            <w:pPr>
              <w:jc w:val="center"/>
            </w:pPr>
            <w:r>
              <w:t>$</w:t>
            </w:r>
            <w:r w:rsidR="00295134">
              <w:t>420</w:t>
            </w:r>
          </w:p>
        </w:tc>
        <w:tc>
          <w:tcPr>
            <w:tcW w:w="990" w:type="dxa"/>
          </w:tcPr>
          <w:p w14:paraId="5EFB0EF6" w14:textId="768308A0" w:rsidR="00D277F1" w:rsidRDefault="00D277F1" w:rsidP="00F9401F">
            <w:pPr>
              <w:jc w:val="center"/>
            </w:pPr>
            <w:r>
              <w:t>$</w:t>
            </w:r>
            <w:r w:rsidR="00295134">
              <w:t>560</w:t>
            </w:r>
          </w:p>
        </w:tc>
      </w:tr>
    </w:tbl>
    <w:p w14:paraId="3ED8B85D" w14:textId="77777777" w:rsidR="00E32375" w:rsidRDefault="00E32375" w:rsidP="0011212B"/>
    <w:p w14:paraId="1B258C6C" w14:textId="77777777" w:rsidR="000E539E" w:rsidRDefault="00E367FA" w:rsidP="0011212B">
      <w:pPr>
        <w:ind w:left="2880" w:hanging="720"/>
      </w:pPr>
      <w:r>
        <w:t>B</w:t>
      </w:r>
      <w:r w:rsidR="000E539E">
        <w:t>)</w:t>
      </w:r>
      <w:r w:rsidR="000E539E">
        <w:tab/>
        <w:t>Target plants will be removed by cutting, girdling and/or herbicide treatment.  Undesirable species must be treated with an appr</w:t>
      </w:r>
      <w:r w:rsidR="006D31A6">
        <w:t>opriate herbicide to prevent re</w:t>
      </w:r>
      <w:r w:rsidR="000E539E">
        <w:t>sprouting.  Treatment must address all target species and result in a minimum mortality or effective control rate of 85%.</w:t>
      </w:r>
    </w:p>
    <w:p w14:paraId="0A88CD66" w14:textId="77777777" w:rsidR="000E539E" w:rsidRDefault="000E539E" w:rsidP="0011212B"/>
    <w:p w14:paraId="3D3C8471" w14:textId="77777777" w:rsidR="000E539E" w:rsidRDefault="00E367FA" w:rsidP="0011212B">
      <w:pPr>
        <w:ind w:left="2880" w:hanging="720"/>
      </w:pPr>
      <w:r>
        <w:t>C</w:t>
      </w:r>
      <w:r w:rsidR="000E539E">
        <w:t>)</w:t>
      </w:r>
      <w:r w:rsidR="000E539E">
        <w:tab/>
        <w:t>Prescribed burning and/or soil scarification may be used in conjunction with this practice.</w:t>
      </w:r>
    </w:p>
    <w:p w14:paraId="55B1BA57" w14:textId="77777777" w:rsidR="000E539E" w:rsidRDefault="000E539E" w:rsidP="0011212B"/>
    <w:p w14:paraId="1E468CE6" w14:textId="77777777" w:rsidR="000E539E" w:rsidRDefault="00E367FA" w:rsidP="0011212B">
      <w:pPr>
        <w:ind w:left="2880" w:hanging="720"/>
      </w:pPr>
      <w:r>
        <w:lastRenderedPageBreak/>
        <w:t>D</w:t>
      </w:r>
      <w:r w:rsidR="000E539E">
        <w:t>)</w:t>
      </w:r>
      <w:r w:rsidR="000E539E">
        <w:tab/>
        <w:t>The goal of this practice is to obtain a 40-60% stocking level in the stand canopy composed of well-distributed</w:t>
      </w:r>
      <w:r w:rsidR="006D31A6">
        <w:t>, desirable, dominant and/or co</w:t>
      </w:r>
      <w:r w:rsidR="0011212B">
        <w:t>-</w:t>
      </w:r>
      <w:r w:rsidR="000E539E">
        <w:t>dominant trees.</w:t>
      </w:r>
    </w:p>
    <w:p w14:paraId="13981F9C" w14:textId="77777777" w:rsidR="000E539E" w:rsidRDefault="000E539E" w:rsidP="0011212B"/>
    <w:p w14:paraId="4E016529" w14:textId="77777777" w:rsidR="000E539E" w:rsidRDefault="00E367FA" w:rsidP="0011212B">
      <w:pPr>
        <w:ind w:left="2880" w:hanging="720"/>
      </w:pPr>
      <w:r>
        <w:t>E</w:t>
      </w:r>
      <w:r w:rsidR="000E539E">
        <w:t>)</w:t>
      </w:r>
      <w:r w:rsidR="000E539E">
        <w:tab/>
        <w:t xml:space="preserve">Post-harvest regeneration openings must have a radius, in feet, equal to or greater than the average height of adjacent dominant forest trees.  All undesirable live stems </w:t>
      </w:r>
      <w:r>
        <w:t xml:space="preserve">necessary to meet practice objectives </w:t>
      </w:r>
      <w:r w:rsidR="000E539E">
        <w:t>should be eliminated in regeneration harvest openings.</w:t>
      </w:r>
    </w:p>
    <w:p w14:paraId="2692A64B" w14:textId="77777777" w:rsidR="00E367FA" w:rsidRDefault="00E367FA" w:rsidP="00283D94"/>
    <w:p w14:paraId="63026143" w14:textId="77777777" w:rsidR="00E367FA" w:rsidRDefault="00E367FA" w:rsidP="0011212B">
      <w:pPr>
        <w:ind w:left="2880" w:hanging="720"/>
      </w:pPr>
      <w:r>
        <w:t>F)</w:t>
      </w:r>
      <w:r>
        <w:tab/>
        <w:t>Site preparation for natural regeneration may require treatment of woody shrubs and light infestations of woody exotic shrubs, along with undesired trees and tree species, in order to establish adequate ligh</w:t>
      </w:r>
      <w:r w:rsidR="00D763AD">
        <w:t>t</w:t>
      </w:r>
      <w:r>
        <w:t xml:space="preserve"> levels to achieve the practice objective.</w:t>
      </w:r>
    </w:p>
    <w:p w14:paraId="6D5A3542" w14:textId="77777777" w:rsidR="00E367FA" w:rsidRDefault="00E367FA" w:rsidP="00283D94"/>
    <w:p w14:paraId="38BA10B9" w14:textId="77777777" w:rsidR="00E367FA" w:rsidRDefault="00E367FA" w:rsidP="0011212B">
      <w:pPr>
        <w:ind w:left="2880" w:hanging="720"/>
      </w:pPr>
      <w:r>
        <w:t>G)</w:t>
      </w:r>
      <w:r>
        <w:tab/>
        <w:t>Site preparation for natural regeneration under subsection (d)(1)(A)(iii) and (iv) may require killing undesirable stems of small size to adequately meet the practice objective.</w:t>
      </w:r>
    </w:p>
    <w:p w14:paraId="55206AD6" w14:textId="77777777" w:rsidR="000E539E" w:rsidRDefault="000E539E" w:rsidP="0011212B"/>
    <w:p w14:paraId="57AF8795" w14:textId="77777777" w:rsidR="00EC6039" w:rsidRDefault="00EC6039" w:rsidP="0011212B">
      <w:pPr>
        <w:ind w:left="2160" w:hanging="720"/>
      </w:pPr>
      <w:r>
        <w:t>2)</w:t>
      </w:r>
      <w:r>
        <w:tab/>
      </w:r>
      <w:r w:rsidR="000E539E">
        <w:t>Soil Scarification.  The flat rate payment for this practice is</w:t>
      </w:r>
      <w:r w:rsidR="006D31A6">
        <w:t xml:space="preserve"> $75 per acre.  The base cost</w:t>
      </w:r>
      <w:r w:rsidR="000E539E">
        <w:t xml:space="preserve"> is $100 per acre.</w:t>
      </w:r>
      <w:r>
        <w:t xml:space="preserve"> </w:t>
      </w:r>
    </w:p>
    <w:p w14:paraId="03F131EE" w14:textId="77777777" w:rsidR="000E539E" w:rsidRDefault="000E539E" w:rsidP="0011212B"/>
    <w:p w14:paraId="57151FEC" w14:textId="77777777" w:rsidR="000E539E" w:rsidRDefault="000E539E" w:rsidP="0011212B">
      <w:pPr>
        <w:ind w:left="2880" w:hanging="720"/>
      </w:pPr>
      <w:r>
        <w:t>A)</w:t>
      </w:r>
      <w:r>
        <w:tab/>
        <w:t xml:space="preserve">The purpose of this component is to expose mineral soil to enhance the establishment of oak and other </w:t>
      </w:r>
      <w:r w:rsidR="00E367FA">
        <w:t>desirable</w:t>
      </w:r>
      <w:r>
        <w:t xml:space="preserve"> species.</w:t>
      </w:r>
    </w:p>
    <w:p w14:paraId="60767DDE" w14:textId="77777777" w:rsidR="000E539E" w:rsidRDefault="000E539E" w:rsidP="0011212B"/>
    <w:p w14:paraId="3CC7A562" w14:textId="77777777" w:rsidR="000E539E" w:rsidRDefault="000E539E" w:rsidP="0011212B">
      <w:pPr>
        <w:ind w:left="2880" w:hanging="720"/>
      </w:pPr>
      <w:r>
        <w:t>B)</w:t>
      </w:r>
      <w:r>
        <w:tab/>
      </w:r>
      <w:r w:rsidR="006D31A6">
        <w:t>This</w:t>
      </w:r>
      <w:r>
        <w:t xml:space="preserve"> practice </w:t>
      </w:r>
      <w:r w:rsidR="006D31A6">
        <w:t xml:space="preserve">shall be performed </w:t>
      </w:r>
      <w:r>
        <w:t>in the fall of an abundant seed crop prior to leaf drop.</w:t>
      </w:r>
    </w:p>
    <w:p w14:paraId="5220847B" w14:textId="77777777" w:rsidR="000E539E" w:rsidRDefault="000E539E" w:rsidP="0011212B"/>
    <w:p w14:paraId="44874165" w14:textId="77777777" w:rsidR="000E539E" w:rsidRDefault="000E539E" w:rsidP="0011212B">
      <w:pPr>
        <w:ind w:left="2880" w:hanging="720"/>
      </w:pPr>
      <w:r>
        <w:t>C)</w:t>
      </w:r>
      <w:r>
        <w:tab/>
        <w:t>A timber harvest, prescribed fire or tree/shrub removal may be needed in addition to scarification to enhance the survival, growth and development of newly established seedlings.</w:t>
      </w:r>
    </w:p>
    <w:p w14:paraId="13E489F3" w14:textId="77777777" w:rsidR="00D84112" w:rsidRDefault="00D84112" w:rsidP="0011212B"/>
    <w:p w14:paraId="418CE2FA" w14:textId="36876106" w:rsidR="00EC6039" w:rsidRDefault="00EC6039" w:rsidP="0011212B">
      <w:pPr>
        <w:ind w:left="2160" w:hanging="720"/>
      </w:pPr>
      <w:r>
        <w:t>3)</w:t>
      </w:r>
      <w:r>
        <w:tab/>
      </w:r>
      <w:r w:rsidR="000E539E">
        <w:t>Prescribed Fire.  The flat rate payment for this practice is $1,500 plus $</w:t>
      </w:r>
      <w:r w:rsidR="00295134">
        <w:t>60</w:t>
      </w:r>
      <w:r w:rsidR="000E539E">
        <w:t xml:space="preserve"> per acre. </w:t>
      </w:r>
      <w:r w:rsidR="006D31A6">
        <w:t xml:space="preserve"> The base cost</w:t>
      </w:r>
      <w:r w:rsidR="000E539E">
        <w:t xml:space="preserve"> is $2,000 plus $</w:t>
      </w:r>
      <w:r w:rsidR="00295134">
        <w:t>80</w:t>
      </w:r>
      <w:r w:rsidR="000E539E">
        <w:t xml:space="preserve"> per acre.  The maximum allowable payment to</w:t>
      </w:r>
      <w:r w:rsidR="00B55C29">
        <w:t xml:space="preserve"> any timber grower</w:t>
      </w:r>
      <w:r w:rsidR="000E539E">
        <w:t xml:space="preserve"> in any one fire season is $7,000.</w:t>
      </w:r>
      <w:r>
        <w:t xml:space="preserve"> </w:t>
      </w:r>
    </w:p>
    <w:p w14:paraId="54EC7765" w14:textId="77777777" w:rsidR="000E539E" w:rsidRDefault="000E539E" w:rsidP="0011212B"/>
    <w:p w14:paraId="0EAD5116" w14:textId="77777777" w:rsidR="000E539E" w:rsidRDefault="000E539E" w:rsidP="0011212B">
      <w:pPr>
        <w:ind w:left="2880" w:hanging="720"/>
      </w:pPr>
      <w:r>
        <w:t>A)</w:t>
      </w:r>
      <w:r>
        <w:tab/>
        <w:t xml:space="preserve">The objective of this practice is to reduce the density of forest competition </w:t>
      </w:r>
      <w:r w:rsidR="00A50379">
        <w:t xml:space="preserve">and leaf litter </w:t>
      </w:r>
      <w:r>
        <w:t>to stimulate growth and regeneration of desirable species.</w:t>
      </w:r>
    </w:p>
    <w:p w14:paraId="2A0C61FB" w14:textId="77777777" w:rsidR="000E539E" w:rsidRDefault="000E539E" w:rsidP="0011212B"/>
    <w:p w14:paraId="38179B5F" w14:textId="02A1FDD9" w:rsidR="000E539E" w:rsidRDefault="000E539E" w:rsidP="0011212B">
      <w:pPr>
        <w:ind w:left="2880" w:hanging="720"/>
      </w:pPr>
      <w:r>
        <w:t>B)</w:t>
      </w:r>
      <w:r>
        <w:tab/>
        <w:t xml:space="preserve">Cost-share may be authorized for up to 3 fires in the same area within a </w:t>
      </w:r>
      <w:proofErr w:type="gramStart"/>
      <w:r>
        <w:t>10 year</w:t>
      </w:r>
      <w:proofErr w:type="gramEnd"/>
      <w:r>
        <w:t xml:space="preserve"> period, if prescribed in the Plan.  A detailed prescribed fire plan must be prepared and approved, prior to any burning, </w:t>
      </w:r>
      <w:r w:rsidR="009653EA">
        <w:t>by the Department</w:t>
      </w:r>
      <w:r>
        <w:t>.</w:t>
      </w:r>
    </w:p>
    <w:p w14:paraId="7CB06665" w14:textId="77777777" w:rsidR="000E539E" w:rsidRDefault="000E539E" w:rsidP="0011212B"/>
    <w:p w14:paraId="16553D8F" w14:textId="1B941911" w:rsidR="00D84112" w:rsidRDefault="000E539E" w:rsidP="0011212B">
      <w:pPr>
        <w:ind w:left="2880" w:hanging="720"/>
      </w:pPr>
      <w:r>
        <w:t>C)</w:t>
      </w:r>
      <w:r>
        <w:tab/>
        <w:t>Prescribed fire must burn forest floor fuels to result in an 80% complete combustion of the targ</w:t>
      </w:r>
      <w:r w:rsidR="00B55C29">
        <w:t xml:space="preserve">et area and </w:t>
      </w:r>
      <w:r w:rsidR="00844656">
        <w:t>barriers</w:t>
      </w:r>
      <w:r>
        <w:t>.</w:t>
      </w:r>
    </w:p>
    <w:p w14:paraId="5F275D01" w14:textId="77777777" w:rsidR="000E539E" w:rsidRDefault="000E539E" w:rsidP="0011212B"/>
    <w:p w14:paraId="0427E933" w14:textId="0D69BF48" w:rsidR="00EC6039" w:rsidRDefault="00295134" w:rsidP="0011212B">
      <w:pPr>
        <w:ind w:firstLine="720"/>
      </w:pPr>
      <w:r w:rsidRPr="004E27CF">
        <w:t>(Source:  Amended at 4</w:t>
      </w:r>
      <w:r>
        <w:t>9</w:t>
      </w:r>
      <w:r w:rsidRPr="004E27CF">
        <w:t xml:space="preserve"> Ill. Reg. </w:t>
      </w:r>
      <w:r w:rsidR="009717ED">
        <w:t>10446</w:t>
      </w:r>
      <w:r w:rsidRPr="004E27CF">
        <w:t xml:space="preserve">, effective </w:t>
      </w:r>
      <w:r w:rsidR="009717ED">
        <w:t>July 31, 2025</w:t>
      </w:r>
      <w:r w:rsidRPr="004E27CF">
        <w:t>)</w:t>
      </w:r>
    </w:p>
    <w:sectPr w:rsidR="00EC6039" w:rsidSect="00EC6039">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6039"/>
    <w:rsid w:val="000461C1"/>
    <w:rsid w:val="00055212"/>
    <w:rsid w:val="00060FC6"/>
    <w:rsid w:val="000E539E"/>
    <w:rsid w:val="0011212B"/>
    <w:rsid w:val="001F48A4"/>
    <w:rsid w:val="00215A2E"/>
    <w:rsid w:val="0026180A"/>
    <w:rsid w:val="00283D94"/>
    <w:rsid w:val="00295134"/>
    <w:rsid w:val="002C4F57"/>
    <w:rsid w:val="00367FA9"/>
    <w:rsid w:val="00530E37"/>
    <w:rsid w:val="00552913"/>
    <w:rsid w:val="005B757D"/>
    <w:rsid w:val="006B5D27"/>
    <w:rsid w:val="006D31A6"/>
    <w:rsid w:val="006E05A6"/>
    <w:rsid w:val="00802F1A"/>
    <w:rsid w:val="00844656"/>
    <w:rsid w:val="00855370"/>
    <w:rsid w:val="009653EA"/>
    <w:rsid w:val="009717ED"/>
    <w:rsid w:val="00A50379"/>
    <w:rsid w:val="00AE38C0"/>
    <w:rsid w:val="00B55C29"/>
    <w:rsid w:val="00BA34C1"/>
    <w:rsid w:val="00CF3942"/>
    <w:rsid w:val="00D277F1"/>
    <w:rsid w:val="00D763AD"/>
    <w:rsid w:val="00D84112"/>
    <w:rsid w:val="00E32375"/>
    <w:rsid w:val="00E367FA"/>
    <w:rsid w:val="00E75AF9"/>
    <w:rsid w:val="00EC6039"/>
    <w:rsid w:val="00EE236F"/>
    <w:rsid w:val="00EF1B8F"/>
    <w:rsid w:val="00F04A20"/>
    <w:rsid w:val="00F27AAA"/>
    <w:rsid w:val="00F9401F"/>
    <w:rsid w:val="00FD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DB8A05"/>
  <w15:docId w15:val="{7C963BA2-E39F-4F73-850E-1F3BEBB7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1536</vt:lpstr>
    </vt:vector>
  </TitlesOfParts>
  <Company>State of Illinois</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1536</dc:title>
  <dc:subject/>
  <dc:creator>ThomasVD</dc:creator>
  <cp:keywords/>
  <dc:description/>
  <cp:lastModifiedBy>Shipley, Melissa A.</cp:lastModifiedBy>
  <cp:revision>4</cp:revision>
  <dcterms:created xsi:type="dcterms:W3CDTF">2025-06-23T15:15:00Z</dcterms:created>
  <dcterms:modified xsi:type="dcterms:W3CDTF">2025-08-15T13:01:00Z</dcterms:modified>
</cp:coreProperties>
</file>