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48" w:rsidRDefault="004C6C48" w:rsidP="00B621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142" w:rsidRDefault="00B62142" w:rsidP="00B62142">
      <w:pPr>
        <w:widowControl w:val="0"/>
        <w:autoSpaceDE w:val="0"/>
        <w:autoSpaceDN w:val="0"/>
        <w:adjustRightInd w:val="0"/>
      </w:pPr>
      <w:r>
        <w:t>AUTHORITY:  Implementing and authorized by Sections 4 and 11(c) of the Illinois Endangered S</w:t>
      </w:r>
      <w:r w:rsidR="004C6C48">
        <w:t>p</w:t>
      </w:r>
      <w:r>
        <w:t xml:space="preserve">ecies Protection Act [520 ILCS 10/4 and 11(c)]. </w:t>
      </w:r>
    </w:p>
    <w:sectPr w:rsidR="00B62142" w:rsidSect="00B6214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142"/>
    <w:rsid w:val="00104FFD"/>
    <w:rsid w:val="004C6C48"/>
    <w:rsid w:val="0085228D"/>
    <w:rsid w:val="008B389D"/>
    <w:rsid w:val="00A56334"/>
    <w:rsid w:val="00B6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11(c) of the Illinois Endangered Species Protection Act [520 ILCS 10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11(c) of the Illinois Endangered Species Protection Act [520 ILCS 10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