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DCAE" w14:textId="77777777" w:rsidR="00765FC4" w:rsidRDefault="00765FC4" w:rsidP="006F47C9">
      <w:pPr>
        <w:widowControl w:val="0"/>
        <w:autoSpaceDE w:val="0"/>
        <w:autoSpaceDN w:val="0"/>
        <w:adjustRightInd w:val="0"/>
        <w:rPr>
          <w:b/>
          <w:bCs/>
        </w:rPr>
      </w:pPr>
    </w:p>
    <w:p w14:paraId="5011D920" w14:textId="77777777" w:rsidR="0060410B" w:rsidRDefault="0060410B" w:rsidP="006F47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715.10  Hunting Season, Open Counties and Permit Quotas</w:t>
      </w:r>
      <w:r>
        <w:t xml:space="preserve"> </w:t>
      </w:r>
    </w:p>
    <w:p w14:paraId="57C37944" w14:textId="77777777" w:rsidR="0060410B" w:rsidRDefault="0060410B" w:rsidP="006F47C9">
      <w:pPr>
        <w:widowControl w:val="0"/>
        <w:autoSpaceDE w:val="0"/>
        <w:autoSpaceDN w:val="0"/>
        <w:adjustRightInd w:val="0"/>
      </w:pPr>
    </w:p>
    <w:p w14:paraId="010FFAFA" w14:textId="05F102F3" w:rsidR="0060410B" w:rsidRDefault="0060410B" w:rsidP="006F47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Season:  </w:t>
      </w:r>
      <w:r w:rsidR="00353AA9">
        <w:t xml:space="preserve">The </w:t>
      </w:r>
      <w:r w:rsidR="00B02B48">
        <w:t>9</w:t>
      </w:r>
      <w:r>
        <w:t xml:space="preserve"> days beginning on Saturday of the </w:t>
      </w:r>
      <w:r w:rsidR="009527CE">
        <w:t>second</w:t>
      </w:r>
      <w:r>
        <w:t xml:space="preserve"> complete </w:t>
      </w:r>
      <w:r w:rsidR="00353AA9">
        <w:t>2-day</w:t>
      </w:r>
      <w:r>
        <w:t xml:space="preserve"> weekend (Saturday</w:t>
      </w:r>
      <w:r w:rsidR="00353AA9">
        <w:t xml:space="preserve"> and</w:t>
      </w:r>
      <w:r>
        <w:t xml:space="preserve"> Sunday) after October 10. </w:t>
      </w:r>
    </w:p>
    <w:p w14:paraId="5D1BF10E" w14:textId="77777777" w:rsidR="005232B9" w:rsidRDefault="005232B9" w:rsidP="004C0530">
      <w:pPr>
        <w:widowControl w:val="0"/>
        <w:autoSpaceDE w:val="0"/>
        <w:autoSpaceDN w:val="0"/>
        <w:adjustRightInd w:val="0"/>
      </w:pPr>
    </w:p>
    <w:p w14:paraId="13FB94AF" w14:textId="77777777" w:rsidR="0060410B" w:rsidRDefault="0060410B" w:rsidP="006F47C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Open Counties </w:t>
      </w:r>
    </w:p>
    <w:p w14:paraId="3583C069" w14:textId="77777777" w:rsidR="0060410B" w:rsidRDefault="0060410B" w:rsidP="006F47C9">
      <w:pPr>
        <w:widowControl w:val="0"/>
        <w:autoSpaceDE w:val="0"/>
        <w:autoSpaceDN w:val="0"/>
        <w:adjustRightInd w:val="0"/>
      </w:pPr>
    </w:p>
    <w:p w14:paraId="1A7956E3" w14:textId="77777777" w:rsidR="008D51A8" w:rsidRDefault="008D51A8" w:rsidP="00353AA9">
      <w:pPr>
        <w:widowControl w:val="0"/>
        <w:autoSpaceDE w:val="0"/>
        <w:autoSpaceDN w:val="0"/>
        <w:adjustRightInd w:val="0"/>
        <w:ind w:left="1440" w:firstLine="720"/>
      </w:pPr>
      <w:r>
        <w:t>OPEN COUNTIES</w:t>
      </w:r>
    </w:p>
    <w:p w14:paraId="3C06F4AB" w14:textId="77777777" w:rsidR="008D51A8" w:rsidRDefault="008D51A8" w:rsidP="006F47C9">
      <w:pPr>
        <w:widowControl w:val="0"/>
        <w:autoSpaceDE w:val="0"/>
        <w:autoSpaceDN w:val="0"/>
        <w:adjustRightInd w:val="0"/>
      </w:pPr>
    </w:p>
    <w:p w14:paraId="71E5126B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Adams</w:t>
      </w:r>
    </w:p>
    <w:p w14:paraId="7C008BF4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Alexander</w:t>
      </w:r>
    </w:p>
    <w:p w14:paraId="3C05FDDC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Brown</w:t>
      </w:r>
    </w:p>
    <w:p w14:paraId="4CE8C241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Calhoun</w:t>
      </w:r>
    </w:p>
    <w:p w14:paraId="18710F95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Carroll</w:t>
      </w:r>
    </w:p>
    <w:p w14:paraId="446F840C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Cass</w:t>
      </w:r>
    </w:p>
    <w:p w14:paraId="05298DB0" w14:textId="77777777" w:rsidR="000465CD" w:rsidRDefault="000465CD" w:rsidP="006F47C9">
      <w:pPr>
        <w:widowControl w:val="0"/>
        <w:autoSpaceDE w:val="0"/>
        <w:autoSpaceDN w:val="0"/>
        <w:adjustRightInd w:val="0"/>
        <w:ind w:firstLine="2166"/>
      </w:pPr>
      <w:r>
        <w:t>Clark</w:t>
      </w:r>
    </w:p>
    <w:p w14:paraId="262D5DCC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Clay</w:t>
      </w:r>
    </w:p>
    <w:p w14:paraId="3574322D" w14:textId="77777777" w:rsidR="000465CD" w:rsidRDefault="000465CD" w:rsidP="006F47C9">
      <w:pPr>
        <w:widowControl w:val="0"/>
        <w:autoSpaceDE w:val="0"/>
        <w:autoSpaceDN w:val="0"/>
        <w:adjustRightInd w:val="0"/>
        <w:ind w:firstLine="2166"/>
      </w:pPr>
      <w:r>
        <w:t>Crawford</w:t>
      </w:r>
    </w:p>
    <w:p w14:paraId="45B5C4BC" w14:textId="77777777" w:rsidR="00353AA9" w:rsidRDefault="00353AA9" w:rsidP="006F47C9">
      <w:pPr>
        <w:widowControl w:val="0"/>
        <w:autoSpaceDE w:val="0"/>
        <w:autoSpaceDN w:val="0"/>
        <w:adjustRightInd w:val="0"/>
        <w:ind w:firstLine="2166"/>
      </w:pPr>
      <w:r>
        <w:t>Edwards</w:t>
      </w:r>
    </w:p>
    <w:p w14:paraId="694938B6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Franklin</w:t>
      </w:r>
    </w:p>
    <w:p w14:paraId="391184D8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Fulton</w:t>
      </w:r>
    </w:p>
    <w:p w14:paraId="70222D6E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Gallatin</w:t>
      </w:r>
    </w:p>
    <w:p w14:paraId="6A35C26E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Green</w:t>
      </w:r>
      <w:r w:rsidR="00D05795">
        <w:t>e</w:t>
      </w:r>
    </w:p>
    <w:p w14:paraId="2B70DE56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Hamilton</w:t>
      </w:r>
    </w:p>
    <w:p w14:paraId="240E640F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Hancock</w:t>
      </w:r>
    </w:p>
    <w:p w14:paraId="57214C9E" w14:textId="77777777" w:rsidR="00B02B48" w:rsidRDefault="00B02B48" w:rsidP="006F47C9">
      <w:pPr>
        <w:widowControl w:val="0"/>
        <w:autoSpaceDE w:val="0"/>
        <w:autoSpaceDN w:val="0"/>
        <w:adjustRightInd w:val="0"/>
        <w:ind w:firstLine="2166"/>
      </w:pPr>
      <w:r>
        <w:t>Hardin</w:t>
      </w:r>
    </w:p>
    <w:p w14:paraId="338539F1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Henderson</w:t>
      </w:r>
    </w:p>
    <w:p w14:paraId="190CA5A6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Jackson</w:t>
      </w:r>
    </w:p>
    <w:p w14:paraId="153B95A4" w14:textId="77777777" w:rsidR="00A005A7" w:rsidRDefault="00A005A7" w:rsidP="006F47C9">
      <w:pPr>
        <w:widowControl w:val="0"/>
        <w:autoSpaceDE w:val="0"/>
        <w:autoSpaceDN w:val="0"/>
        <w:adjustRightInd w:val="0"/>
        <w:ind w:firstLine="2166"/>
      </w:pPr>
      <w:r>
        <w:t>Jasper</w:t>
      </w:r>
    </w:p>
    <w:p w14:paraId="29E8813B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Jefferson</w:t>
      </w:r>
    </w:p>
    <w:p w14:paraId="57B2874E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Jersey</w:t>
      </w:r>
    </w:p>
    <w:p w14:paraId="76FD9120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Jo Daviess</w:t>
      </w:r>
    </w:p>
    <w:p w14:paraId="78B57800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Johnson</w:t>
      </w:r>
    </w:p>
    <w:p w14:paraId="64C9901C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Knox</w:t>
      </w:r>
    </w:p>
    <w:p w14:paraId="23AA629B" w14:textId="77777777" w:rsidR="00A005A7" w:rsidRDefault="00A005A7" w:rsidP="006F47C9">
      <w:pPr>
        <w:widowControl w:val="0"/>
        <w:autoSpaceDE w:val="0"/>
        <w:autoSpaceDN w:val="0"/>
        <w:adjustRightInd w:val="0"/>
        <w:ind w:firstLine="2166"/>
      </w:pPr>
      <w:r>
        <w:t>Lawrence</w:t>
      </w:r>
    </w:p>
    <w:p w14:paraId="5A95A561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Macoupin</w:t>
      </w:r>
    </w:p>
    <w:p w14:paraId="39F6689C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Madison</w:t>
      </w:r>
    </w:p>
    <w:p w14:paraId="3D17F181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Marion</w:t>
      </w:r>
    </w:p>
    <w:p w14:paraId="5A98AA9E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Mason</w:t>
      </w:r>
    </w:p>
    <w:p w14:paraId="2DD6578D" w14:textId="77777777" w:rsidR="00353AA9" w:rsidRDefault="00353AA9" w:rsidP="006F47C9">
      <w:pPr>
        <w:widowControl w:val="0"/>
        <w:autoSpaceDE w:val="0"/>
        <w:autoSpaceDN w:val="0"/>
        <w:adjustRightInd w:val="0"/>
        <w:ind w:firstLine="2166"/>
      </w:pPr>
      <w:r>
        <w:t>Massac</w:t>
      </w:r>
    </w:p>
    <w:p w14:paraId="12E98222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McDonough</w:t>
      </w:r>
    </w:p>
    <w:p w14:paraId="233217E3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Menard</w:t>
      </w:r>
    </w:p>
    <w:p w14:paraId="53CB2885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Mercer</w:t>
      </w:r>
    </w:p>
    <w:p w14:paraId="33DE53FA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Monroe</w:t>
      </w:r>
    </w:p>
    <w:p w14:paraId="7348799B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Morgan</w:t>
      </w:r>
    </w:p>
    <w:p w14:paraId="3E6E1CB4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lastRenderedPageBreak/>
        <w:t>Perry</w:t>
      </w:r>
    </w:p>
    <w:p w14:paraId="215006BA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Pike</w:t>
      </w:r>
    </w:p>
    <w:p w14:paraId="161EBF2D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Pope</w:t>
      </w:r>
    </w:p>
    <w:p w14:paraId="3498DE44" w14:textId="77777777" w:rsidR="00353AA9" w:rsidRDefault="00353AA9" w:rsidP="006F47C9">
      <w:pPr>
        <w:widowControl w:val="0"/>
        <w:autoSpaceDE w:val="0"/>
        <w:autoSpaceDN w:val="0"/>
        <w:adjustRightInd w:val="0"/>
        <w:ind w:firstLine="2166"/>
      </w:pPr>
      <w:r>
        <w:t>Pulaski</w:t>
      </w:r>
    </w:p>
    <w:p w14:paraId="6793A407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Randolph</w:t>
      </w:r>
    </w:p>
    <w:p w14:paraId="26088BC4" w14:textId="77777777" w:rsidR="00A005A7" w:rsidRDefault="00A005A7" w:rsidP="006F47C9">
      <w:pPr>
        <w:widowControl w:val="0"/>
        <w:autoSpaceDE w:val="0"/>
        <w:autoSpaceDN w:val="0"/>
        <w:adjustRightInd w:val="0"/>
        <w:ind w:firstLine="2166"/>
      </w:pPr>
      <w:r>
        <w:t>Richland</w:t>
      </w:r>
    </w:p>
    <w:p w14:paraId="30E6B545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Rock Island</w:t>
      </w:r>
    </w:p>
    <w:p w14:paraId="1DC4F475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Saline</w:t>
      </w:r>
    </w:p>
    <w:p w14:paraId="27E2DE8F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Schuyler</w:t>
      </w:r>
    </w:p>
    <w:p w14:paraId="4580D450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Scott</w:t>
      </w:r>
    </w:p>
    <w:p w14:paraId="7A5DDC06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Stephenson</w:t>
      </w:r>
    </w:p>
    <w:p w14:paraId="7DCEBFA5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Union</w:t>
      </w:r>
    </w:p>
    <w:p w14:paraId="7F9B2BAD" w14:textId="77777777" w:rsidR="00353AA9" w:rsidRDefault="00353AA9" w:rsidP="006F47C9">
      <w:pPr>
        <w:widowControl w:val="0"/>
        <w:autoSpaceDE w:val="0"/>
        <w:autoSpaceDN w:val="0"/>
        <w:adjustRightInd w:val="0"/>
        <w:ind w:firstLine="2166"/>
      </w:pPr>
      <w:r>
        <w:t>Wabash</w:t>
      </w:r>
    </w:p>
    <w:p w14:paraId="7EE78D18" w14:textId="77777777" w:rsidR="00353AA9" w:rsidRDefault="00353AA9" w:rsidP="006F47C9">
      <w:pPr>
        <w:widowControl w:val="0"/>
        <w:autoSpaceDE w:val="0"/>
        <w:autoSpaceDN w:val="0"/>
        <w:adjustRightInd w:val="0"/>
        <w:ind w:firstLine="2166"/>
      </w:pPr>
      <w:r>
        <w:t>Warren</w:t>
      </w:r>
    </w:p>
    <w:p w14:paraId="141CDEA9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Washington</w:t>
      </w:r>
    </w:p>
    <w:p w14:paraId="3296C67F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Wayne</w:t>
      </w:r>
    </w:p>
    <w:p w14:paraId="5D49CC74" w14:textId="77777777" w:rsidR="00BC612D" w:rsidRDefault="00BC612D" w:rsidP="006F47C9">
      <w:pPr>
        <w:widowControl w:val="0"/>
        <w:autoSpaceDE w:val="0"/>
        <w:autoSpaceDN w:val="0"/>
        <w:adjustRightInd w:val="0"/>
        <w:ind w:firstLine="2166"/>
      </w:pPr>
      <w:r>
        <w:t>White</w:t>
      </w:r>
    </w:p>
    <w:p w14:paraId="73356191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Whiteside</w:t>
      </w:r>
    </w:p>
    <w:p w14:paraId="61ECF94D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Williamson</w:t>
      </w:r>
    </w:p>
    <w:p w14:paraId="5B24E21A" w14:textId="77777777" w:rsidR="0060410B" w:rsidRDefault="0060410B" w:rsidP="006F47C9">
      <w:pPr>
        <w:widowControl w:val="0"/>
        <w:autoSpaceDE w:val="0"/>
        <w:autoSpaceDN w:val="0"/>
        <w:adjustRightInd w:val="0"/>
        <w:ind w:firstLine="2166"/>
      </w:pPr>
      <w:r>
        <w:t>Winnebago</w:t>
      </w:r>
    </w:p>
    <w:p w14:paraId="3102E533" w14:textId="77777777" w:rsidR="0060410B" w:rsidRDefault="0060410B" w:rsidP="006F47C9">
      <w:pPr>
        <w:widowControl w:val="0"/>
        <w:autoSpaceDE w:val="0"/>
        <w:autoSpaceDN w:val="0"/>
        <w:adjustRightInd w:val="0"/>
      </w:pPr>
    </w:p>
    <w:p w14:paraId="571FA2A1" w14:textId="77777777" w:rsidR="0060410B" w:rsidRDefault="0060410B" w:rsidP="006F47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 quotas shall be set by the Department of Natural Resources on a county or special hunt area basis. </w:t>
      </w:r>
    </w:p>
    <w:p w14:paraId="73AED0CE" w14:textId="77777777" w:rsidR="000465CD" w:rsidRDefault="000465CD" w:rsidP="004C0530">
      <w:pPr>
        <w:widowControl w:val="0"/>
        <w:autoSpaceDE w:val="0"/>
        <w:autoSpaceDN w:val="0"/>
        <w:adjustRightInd w:val="0"/>
      </w:pPr>
    </w:p>
    <w:p w14:paraId="148D5245" w14:textId="5D005FCB" w:rsidR="00353AA9" w:rsidRPr="00D55B37" w:rsidRDefault="00B005D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F657E">
        <w:t>11871</w:t>
      </w:r>
      <w:r w:rsidRPr="004E27CF">
        <w:t xml:space="preserve">, effective </w:t>
      </w:r>
      <w:r w:rsidR="001F657E">
        <w:t>September 2, 2025</w:t>
      </w:r>
      <w:r w:rsidRPr="004E27CF">
        <w:t>)</w:t>
      </w:r>
    </w:p>
    <w:sectPr w:rsidR="00353AA9" w:rsidRPr="00D55B37" w:rsidSect="006F4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272"/>
    <w:rsid w:val="00011E7B"/>
    <w:rsid w:val="000465CD"/>
    <w:rsid w:val="001A3FAC"/>
    <w:rsid w:val="001F657E"/>
    <w:rsid w:val="003074EC"/>
    <w:rsid w:val="00353AA9"/>
    <w:rsid w:val="00417C98"/>
    <w:rsid w:val="00481072"/>
    <w:rsid w:val="004C0530"/>
    <w:rsid w:val="005232B9"/>
    <w:rsid w:val="0060410B"/>
    <w:rsid w:val="00615272"/>
    <w:rsid w:val="00676B27"/>
    <w:rsid w:val="006F47C9"/>
    <w:rsid w:val="007643E1"/>
    <w:rsid w:val="00765FC4"/>
    <w:rsid w:val="008D51A8"/>
    <w:rsid w:val="00943565"/>
    <w:rsid w:val="009527CE"/>
    <w:rsid w:val="00A005A7"/>
    <w:rsid w:val="00B005D1"/>
    <w:rsid w:val="00B02B48"/>
    <w:rsid w:val="00B24F75"/>
    <w:rsid w:val="00B70CBE"/>
    <w:rsid w:val="00BC612D"/>
    <w:rsid w:val="00D05795"/>
    <w:rsid w:val="00DD41C9"/>
    <w:rsid w:val="00DF722B"/>
    <w:rsid w:val="00F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B52796"/>
  <w15:docId w15:val="{B7400E4F-7C6F-4C06-B930-BBC775E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1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715</vt:lpstr>
    </vt:vector>
  </TitlesOfParts>
  <Company>State Of Illinois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715</dc:title>
  <dc:subject/>
  <dc:creator>saboch</dc:creator>
  <cp:keywords/>
  <dc:description/>
  <cp:lastModifiedBy>Shipley, Melissa A.</cp:lastModifiedBy>
  <cp:revision>3</cp:revision>
  <dcterms:created xsi:type="dcterms:W3CDTF">2025-08-18T14:27:00Z</dcterms:created>
  <dcterms:modified xsi:type="dcterms:W3CDTF">2025-09-18T23:09:00Z</dcterms:modified>
</cp:coreProperties>
</file>