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7C" w:rsidRDefault="0063477C" w:rsidP="00F55D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77C" w:rsidRDefault="0063477C" w:rsidP="00F55D3D">
      <w:pPr>
        <w:widowControl w:val="0"/>
        <w:autoSpaceDE w:val="0"/>
        <w:autoSpaceDN w:val="0"/>
        <w:adjustRightInd w:val="0"/>
        <w:jc w:val="center"/>
      </w:pPr>
      <w:r>
        <w:t>PART 370</w:t>
      </w:r>
    </w:p>
    <w:p w:rsidR="0063477C" w:rsidRDefault="0063477C" w:rsidP="00F55D3D">
      <w:pPr>
        <w:widowControl w:val="0"/>
        <w:autoSpaceDE w:val="0"/>
        <w:autoSpaceDN w:val="0"/>
        <w:adjustRightInd w:val="0"/>
        <w:jc w:val="center"/>
      </w:pPr>
      <w:r>
        <w:t>THE PROTECTION OF ARCHAEOLOGICAL RESOURCES</w:t>
      </w:r>
    </w:p>
    <w:sectPr w:rsidR="006347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77C"/>
    <w:rsid w:val="0063477C"/>
    <w:rsid w:val="007C7BA8"/>
    <w:rsid w:val="00942E48"/>
    <w:rsid w:val="00E700FE"/>
    <w:rsid w:val="00F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