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E8D" w:rsidRDefault="00E02E8D" w:rsidP="00E02E8D">
      <w:pPr>
        <w:widowControl w:val="0"/>
        <w:autoSpaceDE w:val="0"/>
        <w:autoSpaceDN w:val="0"/>
        <w:adjustRightInd w:val="0"/>
      </w:pPr>
      <w:bookmarkStart w:id="0" w:name="_GoBack"/>
      <w:bookmarkEnd w:id="0"/>
    </w:p>
    <w:p w:rsidR="00E02E8D" w:rsidRDefault="00E02E8D" w:rsidP="00E02E8D">
      <w:pPr>
        <w:widowControl w:val="0"/>
        <w:autoSpaceDE w:val="0"/>
        <w:autoSpaceDN w:val="0"/>
        <w:adjustRightInd w:val="0"/>
      </w:pPr>
      <w:r>
        <w:rPr>
          <w:b/>
          <w:bCs/>
        </w:rPr>
        <w:t>Section 1230.200  Eligible Applicants</w:t>
      </w:r>
      <w:r>
        <w:t xml:space="preserve"> </w:t>
      </w:r>
    </w:p>
    <w:p w:rsidR="00E02E8D" w:rsidRDefault="00E02E8D" w:rsidP="00E02E8D">
      <w:pPr>
        <w:widowControl w:val="0"/>
        <w:autoSpaceDE w:val="0"/>
        <w:autoSpaceDN w:val="0"/>
        <w:adjustRightInd w:val="0"/>
      </w:pPr>
    </w:p>
    <w:p w:rsidR="00E02E8D" w:rsidRDefault="00E02E8D" w:rsidP="00E02E8D">
      <w:pPr>
        <w:widowControl w:val="0"/>
        <w:autoSpaceDE w:val="0"/>
        <w:autoSpaceDN w:val="0"/>
        <w:adjustRightInd w:val="0"/>
      </w:pPr>
      <w:r>
        <w:t xml:space="preserve">Applications for loans under this program must be submitted by or on behalf of an employee ownership association.  There is no specific organizational structure required for an employee ownership association by the Act or by the Authority, the Council, or the Department; however, loans may only be made to employee ownership associations which qualify for special tax treatment as an employee stock ownership plan (ESOP) under the Internal Revenue Code. </w:t>
      </w:r>
    </w:p>
    <w:sectPr w:rsidR="00E02E8D" w:rsidSect="00E02E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E8D"/>
    <w:rsid w:val="00494FD4"/>
    <w:rsid w:val="005C3366"/>
    <w:rsid w:val="00897831"/>
    <w:rsid w:val="00AF3F1F"/>
    <w:rsid w:val="00E0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