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C9E25D" w14:textId="77777777" w:rsidR="00994EFF" w:rsidRPr="000A6CEA" w:rsidRDefault="00994EFF" w:rsidP="0028458A">
      <w:pPr>
        <w:rPr>
          <w:bdr w:val="none" w:sz="0" w:space="0" w:color="auto" w:frame="1"/>
        </w:rPr>
      </w:pPr>
    </w:p>
    <w:p w14:paraId="78EFB0CD" w14:textId="6315E39D" w:rsidR="0028458A" w:rsidRPr="000A6CEA" w:rsidRDefault="0028458A" w:rsidP="0028458A">
      <w:pPr>
        <w:rPr>
          <w:b/>
          <w:bCs/>
          <w:bdr w:val="none" w:sz="0" w:space="0" w:color="auto" w:frame="1"/>
        </w:rPr>
      </w:pPr>
      <w:r w:rsidRPr="000A6CEA">
        <w:rPr>
          <w:b/>
          <w:bCs/>
          <w:bdr w:val="none" w:sz="0" w:space="0" w:color="auto" w:frame="1"/>
        </w:rPr>
        <w:t>Section 820.40  Eligible Grant Applicants</w:t>
      </w:r>
    </w:p>
    <w:p w14:paraId="1E5EB245" w14:textId="77777777" w:rsidR="0028458A" w:rsidRPr="000A6CEA" w:rsidRDefault="0028458A" w:rsidP="0028458A">
      <w:pPr>
        <w:rPr>
          <w:bdr w:val="none" w:sz="0" w:space="0" w:color="auto" w:frame="1"/>
        </w:rPr>
      </w:pPr>
    </w:p>
    <w:p w14:paraId="31E9B60B" w14:textId="0F446F1B" w:rsidR="0028458A" w:rsidRPr="000A6CEA" w:rsidRDefault="0028458A" w:rsidP="0028458A">
      <w:pPr>
        <w:rPr>
          <w:bdr w:val="none" w:sz="0" w:space="0" w:color="auto" w:frame="1"/>
        </w:rPr>
      </w:pPr>
      <w:r w:rsidRPr="000A6CEA">
        <w:rPr>
          <w:bdr w:val="none" w:sz="0" w:space="0" w:color="auto" w:frame="1"/>
        </w:rPr>
        <w:t>A single organization may propose to deliver all services, or may partner with other entities to provide certain elements of the Program.  However, the lead applicant organization alone must meet all the requirements in subsections (a)(1)</w:t>
      </w:r>
      <w:r w:rsidR="007D6ED2" w:rsidRPr="000A6CEA">
        <w:rPr>
          <w:bdr w:val="none" w:sz="0" w:space="0" w:color="auto" w:frame="1"/>
        </w:rPr>
        <w:t xml:space="preserve"> through </w:t>
      </w:r>
      <w:r w:rsidRPr="000A6CEA">
        <w:rPr>
          <w:bdr w:val="none" w:sz="0" w:space="0" w:color="auto" w:frame="1"/>
        </w:rPr>
        <w:t>(a)(3) and must be able to serve, with assistance from partner organizations as necessary, at least one region listed in subsection (b).</w:t>
      </w:r>
    </w:p>
    <w:p w14:paraId="6DF98794" w14:textId="77777777" w:rsidR="0028458A" w:rsidRPr="000A6CEA" w:rsidRDefault="0028458A" w:rsidP="0028458A">
      <w:pPr>
        <w:rPr>
          <w:bdr w:val="none" w:sz="0" w:space="0" w:color="auto" w:frame="1"/>
        </w:rPr>
      </w:pPr>
    </w:p>
    <w:p w14:paraId="18D332D4" w14:textId="77777777" w:rsidR="0028458A" w:rsidRPr="000A6CEA" w:rsidRDefault="0028458A" w:rsidP="0028458A">
      <w:pPr>
        <w:ind w:left="1440" w:hanging="720"/>
        <w:rPr>
          <w:bdr w:val="none" w:sz="0" w:space="0" w:color="auto" w:frame="1"/>
        </w:rPr>
      </w:pPr>
      <w:r w:rsidRPr="000A6CEA">
        <w:rPr>
          <w:bdr w:val="none" w:sz="0" w:space="0" w:color="auto" w:frame="1"/>
        </w:rPr>
        <w:t>a)</w:t>
      </w:r>
      <w:r w:rsidRPr="000A6CEA">
        <w:rPr>
          <w:bdr w:val="none" w:sz="0" w:space="0" w:color="auto" w:frame="1"/>
        </w:rPr>
        <w:tab/>
        <w:t>To be eligible to receive a grant, at a minimum, applicants must demonstrate the following:</w:t>
      </w:r>
    </w:p>
    <w:p w14:paraId="79519E71" w14:textId="77777777" w:rsidR="0028458A" w:rsidRPr="000A6CEA" w:rsidRDefault="0028458A" w:rsidP="0028458A">
      <w:pPr>
        <w:rPr>
          <w:bdr w:val="none" w:sz="0" w:space="0" w:color="auto" w:frame="1"/>
        </w:rPr>
      </w:pPr>
    </w:p>
    <w:p w14:paraId="4B38546E" w14:textId="77777777" w:rsidR="0028458A" w:rsidRPr="000A6CEA" w:rsidRDefault="0028458A" w:rsidP="0028458A">
      <w:pPr>
        <w:ind w:left="2160" w:hanging="720"/>
        <w:rPr>
          <w:bdr w:val="none" w:sz="0" w:space="0" w:color="auto" w:frame="1"/>
        </w:rPr>
      </w:pPr>
      <w:r w:rsidRPr="000A6CEA">
        <w:rPr>
          <w:bdr w:val="none" w:sz="0" w:space="0" w:color="auto" w:frame="1"/>
        </w:rPr>
        <w:t>1)</w:t>
      </w:r>
      <w:r w:rsidRPr="000A6CEA">
        <w:rPr>
          <w:bdr w:val="none" w:sz="0" w:space="0" w:color="auto" w:frame="1"/>
        </w:rPr>
        <w:tab/>
        <w:t>Meet the definition of a community-based provider;</w:t>
      </w:r>
    </w:p>
    <w:p w14:paraId="4B0BD1B5" w14:textId="77777777" w:rsidR="0028458A" w:rsidRPr="000A6CEA" w:rsidRDefault="0028458A" w:rsidP="005E4588">
      <w:pPr>
        <w:rPr>
          <w:bdr w:val="none" w:sz="0" w:space="0" w:color="auto" w:frame="1"/>
        </w:rPr>
      </w:pPr>
    </w:p>
    <w:p w14:paraId="1F78ED1D" w14:textId="77777777" w:rsidR="0028458A" w:rsidRPr="000A6CEA" w:rsidRDefault="0028458A" w:rsidP="0028458A">
      <w:pPr>
        <w:ind w:left="2160" w:hanging="720"/>
        <w:rPr>
          <w:bdr w:val="none" w:sz="0" w:space="0" w:color="auto" w:frame="1"/>
        </w:rPr>
      </w:pPr>
      <w:r w:rsidRPr="000A6CEA">
        <w:rPr>
          <w:bdr w:val="none" w:sz="0" w:space="0" w:color="auto" w:frame="1"/>
        </w:rPr>
        <w:t>2)</w:t>
      </w:r>
      <w:r w:rsidRPr="000A6CEA">
        <w:rPr>
          <w:bdr w:val="none" w:sz="0" w:space="0" w:color="auto" w:frame="1"/>
        </w:rPr>
        <w:tab/>
        <w:t xml:space="preserve">Have an active </w:t>
      </w:r>
      <w:proofErr w:type="spellStart"/>
      <w:r w:rsidRPr="000A6CEA">
        <w:rPr>
          <w:bdr w:val="none" w:sz="0" w:space="0" w:color="auto" w:frame="1"/>
        </w:rPr>
        <w:t>GATA</w:t>
      </w:r>
      <w:proofErr w:type="spellEnd"/>
      <w:r w:rsidRPr="000A6CEA">
        <w:rPr>
          <w:bdr w:val="none" w:sz="0" w:space="0" w:color="auto" w:frame="1"/>
        </w:rPr>
        <w:t xml:space="preserve"> registration at the time the application is submitted and be qualified on the </w:t>
      </w:r>
      <w:proofErr w:type="spellStart"/>
      <w:r w:rsidRPr="000A6CEA">
        <w:rPr>
          <w:bdr w:val="none" w:sz="0" w:space="0" w:color="auto" w:frame="1"/>
        </w:rPr>
        <w:t>GATA</w:t>
      </w:r>
      <w:proofErr w:type="spellEnd"/>
      <w:r w:rsidRPr="000A6CEA">
        <w:rPr>
          <w:bdr w:val="none" w:sz="0" w:space="0" w:color="auto" w:frame="1"/>
        </w:rPr>
        <w:t xml:space="preserve"> Grantee Portal (https://grants.illinois.gov/portal/) by the time the application is reviewed by the Department;</w:t>
      </w:r>
    </w:p>
    <w:p w14:paraId="7D2D3BA3" w14:textId="77777777" w:rsidR="0028458A" w:rsidRPr="000A6CEA" w:rsidRDefault="0028458A" w:rsidP="005E4588">
      <w:pPr>
        <w:rPr>
          <w:bdr w:val="none" w:sz="0" w:space="0" w:color="auto" w:frame="1"/>
        </w:rPr>
      </w:pPr>
    </w:p>
    <w:p w14:paraId="4B55CEB4" w14:textId="1F58F893" w:rsidR="0028458A" w:rsidRPr="000A6CEA" w:rsidRDefault="0028458A" w:rsidP="0028458A">
      <w:pPr>
        <w:ind w:left="2160" w:hanging="720"/>
        <w:rPr>
          <w:bdr w:val="none" w:sz="0" w:space="0" w:color="auto" w:frame="1"/>
        </w:rPr>
      </w:pPr>
      <w:r w:rsidRPr="000A6CEA">
        <w:rPr>
          <w:bdr w:val="none" w:sz="0" w:space="0" w:color="auto" w:frame="1"/>
        </w:rPr>
        <w:t>3)</w:t>
      </w:r>
      <w:r w:rsidRPr="000A6CEA">
        <w:rPr>
          <w:bdr w:val="none" w:sz="0" w:space="0" w:color="auto" w:frame="1"/>
        </w:rPr>
        <w:tab/>
      </w:r>
      <w:r w:rsidR="00B24086" w:rsidRPr="000A6CEA">
        <w:rPr>
          <w:bdr w:val="none" w:sz="0" w:space="0" w:color="auto" w:frame="1"/>
        </w:rPr>
        <w:t>Be</w:t>
      </w:r>
      <w:r w:rsidRPr="000A6CEA">
        <w:rPr>
          <w:bdr w:val="none" w:sz="0" w:space="0" w:color="auto" w:frame="1"/>
        </w:rPr>
        <w:t xml:space="preserve"> a regarded entity by the Internal Revenue Service </w:t>
      </w:r>
      <w:r w:rsidR="00D27D91" w:rsidRPr="000A6CEA">
        <w:rPr>
          <w:bdr w:val="none" w:sz="0" w:space="0" w:color="auto" w:frame="1"/>
        </w:rPr>
        <w:t>(</w:t>
      </w:r>
      <w:r w:rsidRPr="000A6CEA">
        <w:rPr>
          <w:bdr w:val="none" w:sz="0" w:space="0" w:color="auto" w:frame="1"/>
        </w:rPr>
        <w:t>26 CFR 301.7701-3(b)(ii)</w:t>
      </w:r>
      <w:r w:rsidR="00D27D91" w:rsidRPr="000A6CEA">
        <w:rPr>
          <w:bdr w:val="none" w:sz="0" w:space="0" w:color="auto" w:frame="1"/>
        </w:rPr>
        <w:t>)</w:t>
      </w:r>
      <w:r w:rsidRPr="000A6CEA">
        <w:rPr>
          <w:bdr w:val="none" w:sz="0" w:space="0" w:color="auto" w:frame="1"/>
        </w:rPr>
        <w:t xml:space="preserve"> for federal income tax purposes; and</w:t>
      </w:r>
    </w:p>
    <w:p w14:paraId="35E7BE36" w14:textId="77777777" w:rsidR="0028458A" w:rsidRPr="000A6CEA" w:rsidRDefault="0028458A" w:rsidP="005E4588">
      <w:pPr>
        <w:rPr>
          <w:bdr w:val="none" w:sz="0" w:space="0" w:color="auto" w:frame="1"/>
        </w:rPr>
      </w:pPr>
    </w:p>
    <w:p w14:paraId="1678E9E6" w14:textId="77777777" w:rsidR="0028458A" w:rsidRPr="000A6CEA" w:rsidRDefault="0028458A" w:rsidP="0028458A">
      <w:pPr>
        <w:ind w:left="2160" w:hanging="720"/>
        <w:rPr>
          <w:bdr w:val="none" w:sz="0" w:space="0" w:color="auto" w:frame="1"/>
        </w:rPr>
      </w:pPr>
      <w:r w:rsidRPr="000A6CEA">
        <w:rPr>
          <w:bdr w:val="none" w:sz="0" w:space="0" w:color="auto" w:frame="1"/>
        </w:rPr>
        <w:t>4)</w:t>
      </w:r>
      <w:r w:rsidRPr="000A6CEA">
        <w:rPr>
          <w:bdr w:val="none" w:sz="0" w:space="0" w:color="auto" w:frame="1"/>
        </w:rPr>
        <w:tab/>
        <w:t>Meet the criteria set forth in Section 820.80.</w:t>
      </w:r>
    </w:p>
    <w:p w14:paraId="37B1CC96" w14:textId="77777777" w:rsidR="0028458A" w:rsidRPr="000A6CEA" w:rsidRDefault="0028458A" w:rsidP="0028458A">
      <w:pPr>
        <w:rPr>
          <w:bdr w:val="none" w:sz="0" w:space="0" w:color="auto" w:frame="1"/>
        </w:rPr>
      </w:pPr>
    </w:p>
    <w:p w14:paraId="3B025A87" w14:textId="57F49C64" w:rsidR="0028458A" w:rsidRPr="000A6CEA" w:rsidRDefault="0028458A" w:rsidP="0028458A">
      <w:pPr>
        <w:ind w:left="1440" w:hanging="720"/>
        <w:rPr>
          <w:bdr w:val="none" w:sz="0" w:space="0" w:color="auto" w:frame="1"/>
        </w:rPr>
      </w:pPr>
      <w:r w:rsidRPr="000A6CEA">
        <w:rPr>
          <w:bdr w:val="none" w:sz="0" w:space="0" w:color="auto" w:frame="1"/>
        </w:rPr>
        <w:t>b)</w:t>
      </w:r>
      <w:r w:rsidRPr="000A6CEA">
        <w:rPr>
          <w:bdr w:val="none" w:sz="0" w:space="0" w:color="auto" w:frame="1"/>
        </w:rPr>
        <w:tab/>
        <w:t xml:space="preserve">The Department will award grants to fund Energy Transition Navigators </w:t>
      </w:r>
      <w:r w:rsidR="007D6ED2" w:rsidRPr="000A6CEA">
        <w:rPr>
          <w:bdr w:val="none" w:sz="0" w:space="0" w:color="auto" w:frame="1"/>
        </w:rPr>
        <w:t>teams that have a physical presence capable of serving and accessible to</w:t>
      </w:r>
      <w:r w:rsidRPr="000A6CEA">
        <w:rPr>
          <w:bdr w:val="none" w:sz="0" w:space="0" w:color="auto" w:frame="1"/>
        </w:rPr>
        <w:t xml:space="preserve"> each of the following areas in Illinois</w:t>
      </w:r>
      <w:r w:rsidR="007D6ED2" w:rsidRPr="000A6CEA">
        <w:rPr>
          <w:bdr w:val="none" w:sz="0" w:space="0" w:color="auto" w:frame="1"/>
        </w:rPr>
        <w:t>, but the grants may serve an area larger than just the listed communities</w:t>
      </w:r>
      <w:r w:rsidRPr="000A6CEA">
        <w:rPr>
          <w:bdr w:val="none" w:sz="0" w:space="0" w:color="auto" w:frame="1"/>
        </w:rPr>
        <w:t>:</w:t>
      </w:r>
    </w:p>
    <w:p w14:paraId="6457C42F" w14:textId="77777777" w:rsidR="0028458A" w:rsidRPr="000A6CEA" w:rsidRDefault="0028458A" w:rsidP="005E4588">
      <w:pPr>
        <w:rPr>
          <w:bdr w:val="none" w:sz="0" w:space="0" w:color="auto" w:frame="1"/>
        </w:rPr>
      </w:pPr>
    </w:p>
    <w:p w14:paraId="160E226F" w14:textId="77777777" w:rsidR="0028458A" w:rsidRPr="000A6CEA" w:rsidRDefault="0028458A" w:rsidP="0028458A">
      <w:pPr>
        <w:ind w:left="1440"/>
        <w:rPr>
          <w:bdr w:val="none" w:sz="0" w:space="0" w:color="auto" w:frame="1"/>
        </w:rPr>
      </w:pPr>
      <w:r w:rsidRPr="000A6CEA">
        <w:rPr>
          <w:bdr w:val="none" w:sz="0" w:space="0" w:color="auto" w:frame="1"/>
        </w:rPr>
        <w:t>1)</w:t>
      </w:r>
      <w:r w:rsidRPr="000A6CEA">
        <w:rPr>
          <w:bdr w:val="none" w:sz="0" w:space="0" w:color="auto" w:frame="1"/>
        </w:rPr>
        <w:tab/>
        <w:t>Chicago (South Side);</w:t>
      </w:r>
    </w:p>
    <w:p w14:paraId="374BAA42" w14:textId="77777777" w:rsidR="0028458A" w:rsidRPr="000A6CEA" w:rsidRDefault="0028458A" w:rsidP="005E4588">
      <w:pPr>
        <w:rPr>
          <w:bdr w:val="none" w:sz="0" w:space="0" w:color="auto" w:frame="1"/>
        </w:rPr>
      </w:pPr>
    </w:p>
    <w:p w14:paraId="6CCF66B6" w14:textId="77777777" w:rsidR="0028458A" w:rsidRPr="000A6CEA" w:rsidRDefault="0028458A" w:rsidP="0028458A">
      <w:pPr>
        <w:ind w:left="1440"/>
        <w:rPr>
          <w:bdr w:val="none" w:sz="0" w:space="0" w:color="auto" w:frame="1"/>
        </w:rPr>
      </w:pPr>
      <w:r w:rsidRPr="000A6CEA">
        <w:rPr>
          <w:bdr w:val="none" w:sz="0" w:space="0" w:color="auto" w:frame="1"/>
        </w:rPr>
        <w:t>2)</w:t>
      </w:r>
      <w:r w:rsidRPr="000A6CEA">
        <w:rPr>
          <w:bdr w:val="none" w:sz="0" w:space="0" w:color="auto" w:frame="1"/>
        </w:rPr>
        <w:tab/>
        <w:t>Chicago (Southwest and West Sides);</w:t>
      </w:r>
    </w:p>
    <w:p w14:paraId="6BA451EB" w14:textId="77777777" w:rsidR="0028458A" w:rsidRPr="000A6CEA" w:rsidRDefault="0028458A" w:rsidP="005E4588">
      <w:pPr>
        <w:rPr>
          <w:bdr w:val="none" w:sz="0" w:space="0" w:color="auto" w:frame="1"/>
        </w:rPr>
      </w:pPr>
    </w:p>
    <w:p w14:paraId="19E7A3AD" w14:textId="77777777" w:rsidR="0028458A" w:rsidRPr="000A6CEA" w:rsidRDefault="0028458A" w:rsidP="0028458A">
      <w:pPr>
        <w:ind w:left="1440"/>
        <w:rPr>
          <w:bdr w:val="none" w:sz="0" w:space="0" w:color="auto" w:frame="1"/>
        </w:rPr>
      </w:pPr>
      <w:r w:rsidRPr="000A6CEA">
        <w:rPr>
          <w:bdr w:val="none" w:sz="0" w:space="0" w:color="auto" w:frame="1"/>
        </w:rPr>
        <w:t>3)</w:t>
      </w:r>
      <w:r w:rsidRPr="000A6CEA">
        <w:rPr>
          <w:bdr w:val="none" w:sz="0" w:space="0" w:color="auto" w:frame="1"/>
        </w:rPr>
        <w:tab/>
        <w:t>Waukegan;</w:t>
      </w:r>
    </w:p>
    <w:p w14:paraId="667EEEB3" w14:textId="77777777" w:rsidR="0028458A" w:rsidRPr="000A6CEA" w:rsidRDefault="0028458A" w:rsidP="005E4588">
      <w:pPr>
        <w:rPr>
          <w:bdr w:val="none" w:sz="0" w:space="0" w:color="auto" w:frame="1"/>
        </w:rPr>
      </w:pPr>
    </w:p>
    <w:p w14:paraId="2E98347A" w14:textId="77777777" w:rsidR="0028458A" w:rsidRPr="000A6CEA" w:rsidRDefault="0028458A" w:rsidP="0028458A">
      <w:pPr>
        <w:ind w:left="1440"/>
        <w:rPr>
          <w:bdr w:val="none" w:sz="0" w:space="0" w:color="auto" w:frame="1"/>
        </w:rPr>
      </w:pPr>
      <w:r w:rsidRPr="000A6CEA">
        <w:rPr>
          <w:bdr w:val="none" w:sz="0" w:space="0" w:color="auto" w:frame="1"/>
        </w:rPr>
        <w:t>4)</w:t>
      </w:r>
      <w:r w:rsidRPr="000A6CEA">
        <w:rPr>
          <w:bdr w:val="none" w:sz="0" w:space="0" w:color="auto" w:frame="1"/>
        </w:rPr>
        <w:tab/>
        <w:t>Rockford;</w:t>
      </w:r>
    </w:p>
    <w:p w14:paraId="2021F1EE" w14:textId="77777777" w:rsidR="0028458A" w:rsidRPr="000A6CEA" w:rsidRDefault="0028458A" w:rsidP="005E4588">
      <w:pPr>
        <w:rPr>
          <w:bdr w:val="none" w:sz="0" w:space="0" w:color="auto" w:frame="1"/>
        </w:rPr>
      </w:pPr>
    </w:p>
    <w:p w14:paraId="514B077C" w14:textId="77777777" w:rsidR="0028458A" w:rsidRPr="000A6CEA" w:rsidRDefault="0028458A" w:rsidP="0028458A">
      <w:pPr>
        <w:ind w:left="1440"/>
        <w:rPr>
          <w:bdr w:val="none" w:sz="0" w:space="0" w:color="auto" w:frame="1"/>
        </w:rPr>
      </w:pPr>
      <w:r w:rsidRPr="000A6CEA">
        <w:rPr>
          <w:bdr w:val="none" w:sz="0" w:space="0" w:color="auto" w:frame="1"/>
        </w:rPr>
        <w:t>5)</w:t>
      </w:r>
      <w:r w:rsidRPr="000A6CEA">
        <w:rPr>
          <w:bdr w:val="none" w:sz="0" w:space="0" w:color="auto" w:frame="1"/>
        </w:rPr>
        <w:tab/>
        <w:t>Aurora;</w:t>
      </w:r>
    </w:p>
    <w:p w14:paraId="466AF996" w14:textId="77777777" w:rsidR="0028458A" w:rsidRPr="000A6CEA" w:rsidRDefault="0028458A" w:rsidP="005E4588">
      <w:pPr>
        <w:rPr>
          <w:bdr w:val="none" w:sz="0" w:space="0" w:color="auto" w:frame="1"/>
        </w:rPr>
      </w:pPr>
    </w:p>
    <w:p w14:paraId="10F5CBA8" w14:textId="77777777" w:rsidR="0028458A" w:rsidRPr="000A6CEA" w:rsidRDefault="0028458A" w:rsidP="0028458A">
      <w:pPr>
        <w:ind w:left="1440"/>
        <w:rPr>
          <w:bdr w:val="none" w:sz="0" w:space="0" w:color="auto" w:frame="1"/>
        </w:rPr>
      </w:pPr>
      <w:r w:rsidRPr="000A6CEA">
        <w:rPr>
          <w:bdr w:val="none" w:sz="0" w:space="0" w:color="auto" w:frame="1"/>
        </w:rPr>
        <w:t>6)</w:t>
      </w:r>
      <w:r w:rsidRPr="000A6CEA">
        <w:rPr>
          <w:bdr w:val="none" w:sz="0" w:space="0" w:color="auto" w:frame="1"/>
        </w:rPr>
        <w:tab/>
        <w:t>Joliet;</w:t>
      </w:r>
    </w:p>
    <w:p w14:paraId="4092AF8B" w14:textId="77777777" w:rsidR="0028458A" w:rsidRPr="000A6CEA" w:rsidRDefault="0028458A" w:rsidP="005E4588">
      <w:pPr>
        <w:rPr>
          <w:bdr w:val="none" w:sz="0" w:space="0" w:color="auto" w:frame="1"/>
        </w:rPr>
      </w:pPr>
    </w:p>
    <w:p w14:paraId="56653439" w14:textId="77777777" w:rsidR="0028458A" w:rsidRPr="000A6CEA" w:rsidRDefault="0028458A" w:rsidP="0028458A">
      <w:pPr>
        <w:ind w:left="1440"/>
        <w:rPr>
          <w:bdr w:val="none" w:sz="0" w:space="0" w:color="auto" w:frame="1"/>
        </w:rPr>
      </w:pPr>
      <w:r w:rsidRPr="000A6CEA">
        <w:rPr>
          <w:bdr w:val="none" w:sz="0" w:space="0" w:color="auto" w:frame="1"/>
        </w:rPr>
        <w:t>7)</w:t>
      </w:r>
      <w:r w:rsidRPr="000A6CEA">
        <w:rPr>
          <w:bdr w:val="none" w:sz="0" w:space="0" w:color="auto" w:frame="1"/>
        </w:rPr>
        <w:tab/>
        <w:t>Peoria;</w:t>
      </w:r>
    </w:p>
    <w:p w14:paraId="0391488D" w14:textId="77777777" w:rsidR="0028458A" w:rsidRPr="000A6CEA" w:rsidRDefault="0028458A" w:rsidP="005E4588">
      <w:pPr>
        <w:rPr>
          <w:bdr w:val="none" w:sz="0" w:space="0" w:color="auto" w:frame="1"/>
        </w:rPr>
      </w:pPr>
    </w:p>
    <w:p w14:paraId="7798F487" w14:textId="77777777" w:rsidR="0028458A" w:rsidRPr="000A6CEA" w:rsidRDefault="0028458A" w:rsidP="0028458A">
      <w:pPr>
        <w:ind w:left="1440"/>
        <w:rPr>
          <w:bdr w:val="none" w:sz="0" w:space="0" w:color="auto" w:frame="1"/>
        </w:rPr>
      </w:pPr>
      <w:r w:rsidRPr="000A6CEA">
        <w:rPr>
          <w:bdr w:val="none" w:sz="0" w:space="0" w:color="auto" w:frame="1"/>
        </w:rPr>
        <w:t>8)</w:t>
      </w:r>
      <w:r w:rsidRPr="000A6CEA">
        <w:rPr>
          <w:bdr w:val="none" w:sz="0" w:space="0" w:color="auto" w:frame="1"/>
        </w:rPr>
        <w:tab/>
        <w:t>Champaign;</w:t>
      </w:r>
    </w:p>
    <w:p w14:paraId="41E9DECC" w14:textId="77777777" w:rsidR="0028458A" w:rsidRPr="000A6CEA" w:rsidRDefault="0028458A" w:rsidP="005E4588">
      <w:pPr>
        <w:rPr>
          <w:bdr w:val="none" w:sz="0" w:space="0" w:color="auto" w:frame="1"/>
        </w:rPr>
      </w:pPr>
    </w:p>
    <w:p w14:paraId="44150669" w14:textId="77777777" w:rsidR="0028458A" w:rsidRPr="000A6CEA" w:rsidRDefault="0028458A" w:rsidP="0028458A">
      <w:pPr>
        <w:ind w:left="1440"/>
        <w:rPr>
          <w:bdr w:val="none" w:sz="0" w:space="0" w:color="auto" w:frame="1"/>
        </w:rPr>
      </w:pPr>
      <w:r w:rsidRPr="000A6CEA">
        <w:rPr>
          <w:bdr w:val="none" w:sz="0" w:space="0" w:color="auto" w:frame="1"/>
        </w:rPr>
        <w:t>9)</w:t>
      </w:r>
      <w:r w:rsidRPr="000A6CEA">
        <w:rPr>
          <w:bdr w:val="none" w:sz="0" w:space="0" w:color="auto" w:frame="1"/>
        </w:rPr>
        <w:tab/>
        <w:t>Danville;</w:t>
      </w:r>
    </w:p>
    <w:p w14:paraId="75A3BCDD" w14:textId="77777777" w:rsidR="0028458A" w:rsidRPr="000A6CEA" w:rsidRDefault="0028458A" w:rsidP="005E4588">
      <w:pPr>
        <w:rPr>
          <w:bdr w:val="none" w:sz="0" w:space="0" w:color="auto" w:frame="1"/>
        </w:rPr>
      </w:pPr>
    </w:p>
    <w:p w14:paraId="25915882" w14:textId="77777777" w:rsidR="0028458A" w:rsidRPr="000A6CEA" w:rsidRDefault="0028458A" w:rsidP="0028458A">
      <w:pPr>
        <w:ind w:left="1440"/>
        <w:rPr>
          <w:bdr w:val="none" w:sz="0" w:space="0" w:color="auto" w:frame="1"/>
        </w:rPr>
      </w:pPr>
      <w:r w:rsidRPr="000A6CEA">
        <w:rPr>
          <w:bdr w:val="none" w:sz="0" w:space="0" w:color="auto" w:frame="1"/>
        </w:rPr>
        <w:lastRenderedPageBreak/>
        <w:t>10)</w:t>
      </w:r>
      <w:r w:rsidRPr="000A6CEA">
        <w:rPr>
          <w:bdr w:val="none" w:sz="0" w:space="0" w:color="auto" w:frame="1"/>
        </w:rPr>
        <w:tab/>
        <w:t>Decatur;</w:t>
      </w:r>
    </w:p>
    <w:p w14:paraId="53FD2E32" w14:textId="77777777" w:rsidR="0028458A" w:rsidRPr="000A6CEA" w:rsidRDefault="0028458A" w:rsidP="005E4588">
      <w:pPr>
        <w:rPr>
          <w:bdr w:val="none" w:sz="0" w:space="0" w:color="auto" w:frame="1"/>
        </w:rPr>
      </w:pPr>
    </w:p>
    <w:p w14:paraId="32E20C22" w14:textId="77777777" w:rsidR="0028458A" w:rsidRPr="000A6CEA" w:rsidRDefault="0028458A" w:rsidP="0028458A">
      <w:pPr>
        <w:ind w:left="1440"/>
        <w:rPr>
          <w:bdr w:val="none" w:sz="0" w:space="0" w:color="auto" w:frame="1"/>
        </w:rPr>
      </w:pPr>
      <w:r w:rsidRPr="000A6CEA">
        <w:rPr>
          <w:bdr w:val="none" w:sz="0" w:space="0" w:color="auto" w:frame="1"/>
        </w:rPr>
        <w:t>11)</w:t>
      </w:r>
      <w:r w:rsidRPr="000A6CEA">
        <w:rPr>
          <w:bdr w:val="none" w:sz="0" w:space="0" w:color="auto" w:frame="1"/>
        </w:rPr>
        <w:tab/>
        <w:t>Carbondale;</w:t>
      </w:r>
    </w:p>
    <w:p w14:paraId="24F83145" w14:textId="77777777" w:rsidR="0028458A" w:rsidRPr="000A6CEA" w:rsidRDefault="0028458A" w:rsidP="005E4588">
      <w:pPr>
        <w:rPr>
          <w:bdr w:val="none" w:sz="0" w:space="0" w:color="auto" w:frame="1"/>
        </w:rPr>
      </w:pPr>
    </w:p>
    <w:p w14:paraId="6086F164" w14:textId="59B1AF57" w:rsidR="0028458A" w:rsidRPr="000A6CEA" w:rsidRDefault="0028458A" w:rsidP="0028458A">
      <w:pPr>
        <w:ind w:left="1440"/>
        <w:rPr>
          <w:bdr w:val="none" w:sz="0" w:space="0" w:color="auto" w:frame="1"/>
        </w:rPr>
      </w:pPr>
      <w:r w:rsidRPr="000A6CEA">
        <w:rPr>
          <w:bdr w:val="none" w:sz="0" w:space="0" w:color="auto" w:frame="1"/>
        </w:rPr>
        <w:t>12)</w:t>
      </w:r>
      <w:r w:rsidRPr="000A6CEA">
        <w:rPr>
          <w:bdr w:val="none" w:sz="0" w:space="0" w:color="auto" w:frame="1"/>
        </w:rPr>
        <w:tab/>
        <w:t>East St. Lou</w:t>
      </w:r>
      <w:r w:rsidR="00F3072E" w:rsidRPr="000A6CEA">
        <w:rPr>
          <w:bdr w:val="none" w:sz="0" w:space="0" w:color="auto" w:frame="1"/>
        </w:rPr>
        <w:t>i</w:t>
      </w:r>
      <w:r w:rsidRPr="000A6CEA">
        <w:rPr>
          <w:bdr w:val="none" w:sz="0" w:space="0" w:color="auto" w:frame="1"/>
        </w:rPr>
        <w:t xml:space="preserve">s; </w:t>
      </w:r>
    </w:p>
    <w:p w14:paraId="33E7748D" w14:textId="77777777" w:rsidR="0028458A" w:rsidRPr="000A6CEA" w:rsidRDefault="0028458A" w:rsidP="005E4588">
      <w:pPr>
        <w:rPr>
          <w:bdr w:val="none" w:sz="0" w:space="0" w:color="auto" w:frame="1"/>
        </w:rPr>
      </w:pPr>
    </w:p>
    <w:p w14:paraId="516F1C4A" w14:textId="77777777" w:rsidR="0028458A" w:rsidRPr="000A6CEA" w:rsidRDefault="0028458A" w:rsidP="0028458A">
      <w:pPr>
        <w:ind w:left="1440"/>
        <w:rPr>
          <w:bdr w:val="none" w:sz="0" w:space="0" w:color="auto" w:frame="1"/>
        </w:rPr>
      </w:pPr>
      <w:r w:rsidRPr="000A6CEA">
        <w:rPr>
          <w:bdr w:val="none" w:sz="0" w:space="0" w:color="auto" w:frame="1"/>
        </w:rPr>
        <w:t>13)</w:t>
      </w:r>
      <w:r w:rsidRPr="000A6CEA">
        <w:rPr>
          <w:bdr w:val="none" w:sz="0" w:space="0" w:color="auto" w:frame="1"/>
        </w:rPr>
        <w:tab/>
        <w:t>Kankakee; and</w:t>
      </w:r>
    </w:p>
    <w:p w14:paraId="2E9D1F45" w14:textId="77777777" w:rsidR="0028458A" w:rsidRPr="000A6CEA" w:rsidRDefault="0028458A" w:rsidP="005E4588">
      <w:pPr>
        <w:rPr>
          <w:bdr w:val="none" w:sz="0" w:space="0" w:color="auto" w:frame="1"/>
        </w:rPr>
      </w:pPr>
    </w:p>
    <w:p w14:paraId="5CC5727B" w14:textId="1DEC3B91" w:rsidR="0028458A" w:rsidRPr="000A6CEA" w:rsidRDefault="0028458A" w:rsidP="0028458A">
      <w:pPr>
        <w:ind w:left="1440"/>
        <w:rPr>
          <w:bdr w:val="none" w:sz="0" w:space="0" w:color="auto" w:frame="1"/>
        </w:rPr>
      </w:pPr>
      <w:r w:rsidRPr="000A6CEA">
        <w:rPr>
          <w:bdr w:val="none" w:sz="0" w:space="0" w:color="auto" w:frame="1"/>
        </w:rPr>
        <w:t>14)</w:t>
      </w:r>
      <w:r w:rsidRPr="000A6CEA">
        <w:rPr>
          <w:bdr w:val="none" w:sz="0" w:space="0" w:color="auto" w:frame="1"/>
        </w:rPr>
        <w:tab/>
        <w:t>Alton</w:t>
      </w:r>
      <w:r w:rsidR="00994EFF" w:rsidRPr="000A6CEA">
        <w:rPr>
          <w:bdr w:val="none" w:sz="0" w:space="0" w:color="auto" w:frame="1"/>
        </w:rPr>
        <w:t>.</w:t>
      </w:r>
    </w:p>
    <w:p w14:paraId="1DC5BF6A" w14:textId="77777777" w:rsidR="0028458A" w:rsidRPr="000A6CEA" w:rsidRDefault="0028458A" w:rsidP="005E4588">
      <w:pPr>
        <w:rPr>
          <w:bdr w:val="none" w:sz="0" w:space="0" w:color="auto" w:frame="1"/>
        </w:rPr>
      </w:pPr>
    </w:p>
    <w:p w14:paraId="464CFA1B" w14:textId="343BD1E5" w:rsidR="0028458A" w:rsidRPr="000A6CEA" w:rsidRDefault="006C4BD6" w:rsidP="006C4BD6">
      <w:pPr>
        <w:ind w:left="1440" w:hanging="720"/>
        <w:rPr>
          <w:bdr w:val="none" w:sz="0" w:space="0" w:color="auto" w:frame="1"/>
        </w:rPr>
      </w:pPr>
      <w:r w:rsidRPr="000A6CEA">
        <w:rPr>
          <w:bdr w:val="none" w:sz="0" w:space="0" w:color="auto" w:frame="1"/>
        </w:rPr>
        <w:t>c)</w:t>
      </w:r>
      <w:r w:rsidRPr="000A6CEA">
        <w:rPr>
          <w:bdr w:val="none" w:sz="0" w:space="0" w:color="auto" w:frame="1"/>
        </w:rPr>
        <w:tab/>
      </w:r>
      <w:r w:rsidR="0028458A" w:rsidRPr="000A6CEA">
        <w:rPr>
          <w:bdr w:val="none" w:sz="0" w:space="0" w:color="auto" w:frame="1"/>
        </w:rPr>
        <w:t xml:space="preserve">An eligible organization may serve as the designated Energy Transition Navigator for more than one designated area.  However, the applicant's team must be able to serve program participants within all the designated areas and their surrounding vicinities for which they apply.  </w:t>
      </w:r>
    </w:p>
    <w:sectPr w:rsidR="0028458A" w:rsidRPr="000A6CEA"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A94507" w14:textId="77777777" w:rsidR="0028458A" w:rsidRDefault="0028458A">
      <w:r>
        <w:separator/>
      </w:r>
    </w:p>
  </w:endnote>
  <w:endnote w:type="continuationSeparator" w:id="0">
    <w:p w14:paraId="232A5309" w14:textId="77777777" w:rsidR="0028458A" w:rsidRDefault="002845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26CA9B" w14:textId="77777777" w:rsidR="0028458A" w:rsidRDefault="0028458A">
      <w:r>
        <w:separator/>
      </w:r>
    </w:p>
  </w:footnote>
  <w:footnote w:type="continuationSeparator" w:id="0">
    <w:p w14:paraId="2B1A63BC" w14:textId="77777777" w:rsidR="0028458A" w:rsidRDefault="002845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458A"/>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A6CEA"/>
    <w:rsid w:val="000B2808"/>
    <w:rsid w:val="000B2839"/>
    <w:rsid w:val="000B4119"/>
    <w:rsid w:val="000C6D3D"/>
    <w:rsid w:val="000C7A6D"/>
    <w:rsid w:val="000D074F"/>
    <w:rsid w:val="000D167F"/>
    <w:rsid w:val="000D225F"/>
    <w:rsid w:val="000D269B"/>
    <w:rsid w:val="000D62B6"/>
    <w:rsid w:val="000E04BB"/>
    <w:rsid w:val="000E08CB"/>
    <w:rsid w:val="000E47F7"/>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8458A"/>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110B"/>
    <w:rsid w:val="00552D2A"/>
    <w:rsid w:val="00553C83"/>
    <w:rsid w:val="0056157E"/>
    <w:rsid w:val="0056373E"/>
    <w:rsid w:val="0056501E"/>
    <w:rsid w:val="00571719"/>
    <w:rsid w:val="00571A8B"/>
    <w:rsid w:val="00573192"/>
    <w:rsid w:val="00573770"/>
    <w:rsid w:val="0057438B"/>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4588"/>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1C91"/>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C4BD6"/>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D6ED2"/>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31DC"/>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94EFF"/>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086"/>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1F73"/>
    <w:rsid w:val="00CD3723"/>
    <w:rsid w:val="00CD5413"/>
    <w:rsid w:val="00CE01BF"/>
    <w:rsid w:val="00CE4292"/>
    <w:rsid w:val="00CE6CBE"/>
    <w:rsid w:val="00CF0FC7"/>
    <w:rsid w:val="00D03A79"/>
    <w:rsid w:val="00D0676C"/>
    <w:rsid w:val="00D10D50"/>
    <w:rsid w:val="00D17DC3"/>
    <w:rsid w:val="00D2155A"/>
    <w:rsid w:val="00D27015"/>
    <w:rsid w:val="00D2776C"/>
    <w:rsid w:val="00D27D91"/>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16E2"/>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174C"/>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0643"/>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26B"/>
    <w:rsid w:val="00F13E5A"/>
    <w:rsid w:val="00F16AA7"/>
    <w:rsid w:val="00F20D9B"/>
    <w:rsid w:val="00F3072E"/>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E8939A"/>
  <w15:chartTrackingRefBased/>
  <w15:docId w15:val="{822CB077-1B96-46D9-913B-8457DCF52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9279468">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270</Words>
  <Characters>1488</Characters>
  <Application>Microsoft Office Word</Application>
  <DocSecurity>0</DocSecurity>
  <Lines>12</Lines>
  <Paragraphs>3</Paragraphs>
  <ScaleCrop>false</ScaleCrop>
  <Company>Illinois General Assembly</Company>
  <LinksUpToDate>false</LinksUpToDate>
  <CharactersWithSpaces>1755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 Crystal K.</dc:creator>
  <cp:keywords/>
  <dc:description/>
  <cp:lastModifiedBy>Shipley, Melissa A.</cp:lastModifiedBy>
  <cp:revision>9</cp:revision>
  <dcterms:created xsi:type="dcterms:W3CDTF">2024-06-24T18:18:00Z</dcterms:created>
  <dcterms:modified xsi:type="dcterms:W3CDTF">2025-05-30T12:52:00Z</dcterms:modified>
</cp:coreProperties>
</file>