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32D" w:rsidRPr="00D3732D" w:rsidRDefault="00D3732D" w:rsidP="00D3732D"/>
    <w:p w:rsidR="00D3732D" w:rsidRPr="00D3732D" w:rsidRDefault="00D3732D" w:rsidP="00D3732D">
      <w:pPr>
        <w:rPr>
          <w:b/>
        </w:rPr>
      </w:pPr>
      <w:r w:rsidRPr="00D3732D">
        <w:rPr>
          <w:b/>
        </w:rPr>
        <w:t>Section 691.30</w:t>
      </w:r>
      <w:r>
        <w:rPr>
          <w:b/>
        </w:rPr>
        <w:t xml:space="preserve"> </w:t>
      </w:r>
      <w:r w:rsidRPr="00D3732D">
        <w:rPr>
          <w:b/>
        </w:rPr>
        <w:t xml:space="preserve"> GATA Requirements</w:t>
      </w:r>
    </w:p>
    <w:p w:rsidR="00D3732D" w:rsidRPr="00D3732D" w:rsidRDefault="00D3732D" w:rsidP="00D3732D">
      <w:bookmarkStart w:id="0" w:name="_GoBack"/>
      <w:bookmarkEnd w:id="0"/>
    </w:p>
    <w:p w:rsidR="00D3732D" w:rsidRPr="00D3732D" w:rsidRDefault="00D3732D" w:rsidP="00D3732D">
      <w:pPr>
        <w:ind w:left="1440" w:hanging="720"/>
      </w:pPr>
      <w:r>
        <w:t>a)</w:t>
      </w:r>
      <w:r>
        <w:tab/>
      </w:r>
      <w:r w:rsidRPr="00D3732D">
        <w:t>The Program is subject to the Grant Accountability and Transparency Act [30 ILCS 708], with any exceptions granted by GOMB.</w:t>
      </w:r>
    </w:p>
    <w:p w:rsidR="00D3732D" w:rsidRDefault="00D3732D" w:rsidP="00D3732D"/>
    <w:p w:rsidR="000174EB" w:rsidRPr="00D3732D" w:rsidRDefault="00D3732D" w:rsidP="00D3732D">
      <w:pPr>
        <w:ind w:left="1440" w:hanging="720"/>
      </w:pPr>
      <w:r>
        <w:t>b)</w:t>
      </w:r>
      <w:r>
        <w:tab/>
      </w:r>
      <w:r w:rsidRPr="00D3732D">
        <w:t xml:space="preserve">To the extent the Program is implemented using grant agreements, at </w:t>
      </w:r>
      <w:r w:rsidR="002E260B">
        <w:t xml:space="preserve">a </w:t>
      </w:r>
      <w:r w:rsidRPr="00D3732D">
        <w:t>minimum</w:t>
      </w:r>
      <w:r w:rsidR="002E260B">
        <w:t>,</w:t>
      </w:r>
      <w:r w:rsidRPr="00D3732D">
        <w:t xml:space="preserve"> the provisions of </w:t>
      </w:r>
      <w:r w:rsidR="002E260B" w:rsidRPr="00D3732D">
        <w:t>2 CFR 200.303</w:t>
      </w:r>
      <w:r w:rsidR="002E260B">
        <w:t xml:space="preserve"> and</w:t>
      </w:r>
      <w:r w:rsidR="002E260B" w:rsidRPr="00D3732D">
        <w:t xml:space="preserve"> </w:t>
      </w:r>
      <w:r w:rsidR="003F3C15">
        <w:t>200.</w:t>
      </w:r>
      <w:r w:rsidR="002E260B" w:rsidRPr="00D3732D">
        <w:t>330</w:t>
      </w:r>
      <w:r w:rsidR="002E260B">
        <w:t xml:space="preserve"> through </w:t>
      </w:r>
      <w:r w:rsidR="003F3C15">
        <w:t>200.</w:t>
      </w:r>
      <w:r w:rsidR="002E260B" w:rsidRPr="00D3732D">
        <w:t>332</w:t>
      </w:r>
      <w:r w:rsidR="002E260B">
        <w:t xml:space="preserve"> of </w:t>
      </w:r>
      <w:r w:rsidRPr="00D3732D">
        <w:t>the Uniform Guidance apply to grant recipients.</w:t>
      </w:r>
    </w:p>
    <w:sectPr w:rsidR="000174EB" w:rsidRPr="00D3732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994" w:rsidRDefault="00D84994">
      <w:r>
        <w:separator/>
      </w:r>
    </w:p>
  </w:endnote>
  <w:endnote w:type="continuationSeparator" w:id="0">
    <w:p w:rsidR="00D84994" w:rsidRDefault="00D8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994" w:rsidRDefault="00D84994">
      <w:r>
        <w:separator/>
      </w:r>
    </w:p>
  </w:footnote>
  <w:footnote w:type="continuationSeparator" w:id="0">
    <w:p w:rsidR="00D84994" w:rsidRDefault="00D84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D00E9"/>
    <w:multiLevelType w:val="hybridMultilevel"/>
    <w:tmpl w:val="282A24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9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260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371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3C15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108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732D"/>
    <w:rsid w:val="00D422A7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4994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2404B-A1C1-450F-9F8F-D176D33F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3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37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300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7</cp:revision>
  <dcterms:created xsi:type="dcterms:W3CDTF">2021-08-10T15:22:00Z</dcterms:created>
  <dcterms:modified xsi:type="dcterms:W3CDTF">2021-09-14T17:14:00Z</dcterms:modified>
</cp:coreProperties>
</file>