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6A" w:rsidRDefault="00DF3E6A" w:rsidP="00DF3E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3E6A" w:rsidRDefault="00DF3E6A" w:rsidP="00DF3E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620.20  Statewide Committee</w:t>
      </w:r>
      <w:r>
        <w:t xml:space="preserve"> </w:t>
      </w:r>
    </w:p>
    <w:p w:rsidR="00DF3E6A" w:rsidRDefault="00DF3E6A" w:rsidP="00DF3E6A">
      <w:pPr>
        <w:widowControl w:val="0"/>
        <w:autoSpaceDE w:val="0"/>
        <w:autoSpaceDN w:val="0"/>
        <w:adjustRightInd w:val="0"/>
      </w:pPr>
    </w:p>
    <w:p w:rsidR="00DF3E6A" w:rsidRDefault="00DF3E6A" w:rsidP="00DF3E6A">
      <w:pPr>
        <w:widowControl w:val="0"/>
        <w:autoSpaceDE w:val="0"/>
        <w:autoSpaceDN w:val="0"/>
        <w:adjustRightInd w:val="0"/>
      </w:pPr>
      <w:r>
        <w:t xml:space="preserve">Consistent with provisions contained in Section 46.32a of the Civil Administrative Code of Illinois (Act) (Ill. Rev. Stat. 1985, </w:t>
      </w:r>
      <w:proofErr w:type="spellStart"/>
      <w:r>
        <w:t>ch</w:t>
      </w:r>
      <w:proofErr w:type="spellEnd"/>
      <w:r>
        <w:t xml:space="preserve">. 127, par. 46.32a), there shall be established a Labor-Management Cooperation Committee; the duties of said committee are specified in the Act. </w:t>
      </w:r>
    </w:p>
    <w:p w:rsidR="002F36F8" w:rsidRDefault="002F36F8" w:rsidP="00DF3E6A">
      <w:pPr>
        <w:widowControl w:val="0"/>
        <w:autoSpaceDE w:val="0"/>
        <w:autoSpaceDN w:val="0"/>
        <w:adjustRightInd w:val="0"/>
      </w:pPr>
    </w:p>
    <w:p w:rsidR="00DF3E6A" w:rsidRDefault="00DF3E6A" w:rsidP="002F36F8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11 Ill. Reg. 16096, effective September 29, 1987) </w:t>
      </w:r>
    </w:p>
    <w:sectPr w:rsidR="00DF3E6A" w:rsidSect="00DF3E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E6A"/>
    <w:rsid w:val="001263E4"/>
    <w:rsid w:val="002F298B"/>
    <w:rsid w:val="002F36F8"/>
    <w:rsid w:val="005C3366"/>
    <w:rsid w:val="0067565E"/>
    <w:rsid w:val="00D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