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97" w:rsidRDefault="00ED7D97" w:rsidP="00E53B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7D97" w:rsidRDefault="00ED7D97" w:rsidP="00E53BC4">
      <w:pPr>
        <w:widowControl w:val="0"/>
        <w:autoSpaceDE w:val="0"/>
        <w:autoSpaceDN w:val="0"/>
        <w:adjustRightInd w:val="0"/>
        <w:jc w:val="center"/>
      </w:pPr>
      <w:r>
        <w:t xml:space="preserve">SUBPART I:  </w:t>
      </w:r>
      <w:r w:rsidR="00E53BC4" w:rsidRPr="00E53BC4">
        <w:t>UTILITY TAX EXEMPTION</w:t>
      </w:r>
      <w:r w:rsidR="00E53BC4">
        <w:t xml:space="preserve"> </w:t>
      </w:r>
    </w:p>
    <w:sectPr w:rsidR="00ED7D97" w:rsidSect="00E53B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D97"/>
    <w:rsid w:val="00265A11"/>
    <w:rsid w:val="002C02AF"/>
    <w:rsid w:val="00A16E36"/>
    <w:rsid w:val="00CD3291"/>
    <w:rsid w:val="00E53BC4"/>
    <w:rsid w:val="00E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UTILITY TAX EXEMPTION MACHINERY AND EQUIPMENT/POLLUTION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UTILITY TAX EXEMPTION MACHINERY AND EQUIPMENT/POLLUTION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