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91" w:rsidRDefault="00106591" w:rsidP="001065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591" w:rsidRDefault="00106591" w:rsidP="001065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515.30  Eligible Applicants</w:t>
      </w:r>
      <w:r>
        <w:t xml:space="preserve"> </w:t>
      </w:r>
    </w:p>
    <w:p w:rsidR="00106591" w:rsidRDefault="00106591" w:rsidP="00106591">
      <w:pPr>
        <w:widowControl w:val="0"/>
        <w:autoSpaceDE w:val="0"/>
        <w:autoSpaceDN w:val="0"/>
        <w:adjustRightInd w:val="0"/>
      </w:pPr>
    </w:p>
    <w:p w:rsidR="00106591" w:rsidRDefault="00106591" w:rsidP="00106591">
      <w:pPr>
        <w:widowControl w:val="0"/>
        <w:autoSpaceDE w:val="0"/>
        <w:autoSpaceDN w:val="0"/>
        <w:adjustRightInd w:val="0"/>
      </w:pPr>
      <w:r>
        <w:t xml:space="preserve">Illinois Regional Tourism Development Organizations (RTDO) recognized by the Department as certified are eligible to receive grant funds. </w:t>
      </w:r>
    </w:p>
    <w:sectPr w:rsidR="00106591" w:rsidSect="001065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591"/>
    <w:rsid w:val="00106591"/>
    <w:rsid w:val="00462CDF"/>
    <w:rsid w:val="005C3366"/>
    <w:rsid w:val="00726A04"/>
    <w:rsid w:val="00A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