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DB0F9" w14:textId="77777777" w:rsidR="00A739CD" w:rsidRPr="00CA282C" w:rsidRDefault="00A739CD" w:rsidP="00A739CD">
      <w:pPr>
        <w:ind w:left="-18" w:firstLine="18"/>
        <w:rPr>
          <w:bCs/>
        </w:rPr>
      </w:pPr>
    </w:p>
    <w:p w14:paraId="341B31E6" w14:textId="77777777" w:rsidR="00A739CD" w:rsidRDefault="00A739CD" w:rsidP="00A739CD">
      <w:pPr>
        <w:ind w:left="-18" w:firstLine="18"/>
        <w:rPr>
          <w:b/>
        </w:rPr>
      </w:pPr>
      <w:r>
        <w:rPr>
          <w:b/>
        </w:rPr>
        <w:t xml:space="preserve">Section 250.80  Establishment of Directory of Participating Manufacturers and </w:t>
      </w:r>
      <w:r w:rsidR="009A4A23">
        <w:rPr>
          <w:b/>
        </w:rPr>
        <w:t xml:space="preserve">Directory of </w:t>
      </w:r>
      <w:r>
        <w:rPr>
          <w:b/>
        </w:rPr>
        <w:t xml:space="preserve">Compliant </w:t>
      </w:r>
      <w:proofErr w:type="spellStart"/>
      <w:r>
        <w:rPr>
          <w:b/>
        </w:rPr>
        <w:t>NPMs</w:t>
      </w:r>
      <w:proofErr w:type="spellEnd"/>
    </w:p>
    <w:p w14:paraId="12561E8C" w14:textId="77777777" w:rsidR="00A739CD" w:rsidRDefault="00A739CD" w:rsidP="00A739CD">
      <w:pPr>
        <w:ind w:left="2160" w:hanging="2160"/>
      </w:pPr>
    </w:p>
    <w:p w14:paraId="0CDE9A1C" w14:textId="77777777" w:rsidR="00A739CD" w:rsidRDefault="00A739CD" w:rsidP="00A739CD">
      <w:pPr>
        <w:ind w:left="1440" w:hanging="720"/>
      </w:pPr>
      <w:r>
        <w:t>a)</w:t>
      </w:r>
      <w:r>
        <w:tab/>
        <w:t xml:space="preserve">The AGO shall develop, maintain, and publish a directory of participating manufacturers who have generally performed their financial obligations under the </w:t>
      </w:r>
      <w:proofErr w:type="spellStart"/>
      <w:r>
        <w:t>MSA</w:t>
      </w:r>
      <w:proofErr w:type="spellEnd"/>
      <w:r>
        <w:t xml:space="preserve">, and a separate directory of compliant </w:t>
      </w:r>
      <w:proofErr w:type="spellStart"/>
      <w:r>
        <w:t>NPMs</w:t>
      </w:r>
      <w:proofErr w:type="spellEnd"/>
      <w:r>
        <w:t xml:space="preserve"> who have established a qualified escrow account and who are otherwise in compliance with Section 15(a)(2) of the Escrow Act and Section 15(a)(2) and (3) of the Escrow Enforcement Act.</w:t>
      </w:r>
    </w:p>
    <w:p w14:paraId="52CACEF5" w14:textId="77777777" w:rsidR="00A739CD" w:rsidRDefault="00A739CD" w:rsidP="00CA282C"/>
    <w:p w14:paraId="49725BFA" w14:textId="77777777" w:rsidR="00660CF5" w:rsidRDefault="00A739CD" w:rsidP="00A739CD">
      <w:pPr>
        <w:ind w:left="1440" w:hanging="720"/>
      </w:pPr>
      <w:r>
        <w:t>b)</w:t>
      </w:r>
      <w:r>
        <w:tab/>
        <w:t xml:space="preserve">The directories shall be published on the </w:t>
      </w:r>
      <w:proofErr w:type="spellStart"/>
      <w:r>
        <w:t>AGO</w:t>
      </w:r>
      <w:r w:rsidR="007B3F55">
        <w:t>'</w:t>
      </w:r>
      <w:r>
        <w:t>s</w:t>
      </w:r>
      <w:proofErr w:type="spellEnd"/>
      <w:r>
        <w:t xml:space="preserve"> website (</w:t>
      </w:r>
      <w:r>
        <w:rPr>
          <w:color w:val="000000"/>
        </w:rPr>
        <w:t>www.</w:t>
      </w:r>
      <w:r w:rsidR="00496D2F">
        <w:rPr>
          <w:color w:val="000000"/>
        </w:rPr>
        <w:t>illinoisattorneygeneral.gov</w:t>
      </w:r>
      <w:r>
        <w:t>) and shall be revised as necessary as new information is received by the AGO.</w:t>
      </w:r>
    </w:p>
    <w:p w14:paraId="433F70E5" w14:textId="77777777" w:rsidR="00660CF5" w:rsidRDefault="00660CF5" w:rsidP="00CA282C"/>
    <w:p w14:paraId="73DACA52" w14:textId="77777777" w:rsidR="009A4A23" w:rsidRDefault="00660CF5" w:rsidP="00660CF5">
      <w:pPr>
        <w:ind w:left="2160" w:hanging="720"/>
      </w:pPr>
      <w:r>
        <w:t>1)</w:t>
      </w:r>
      <w:r>
        <w:tab/>
      </w:r>
      <w:r w:rsidR="009A4A23">
        <w:t xml:space="preserve">If the AGO intends to remove or not list a </w:t>
      </w:r>
      <w:proofErr w:type="spellStart"/>
      <w:r w:rsidR="009A4A23">
        <w:t>TPM</w:t>
      </w:r>
      <w:proofErr w:type="spellEnd"/>
      <w:r w:rsidR="009A4A23">
        <w:t xml:space="preserve"> from the directory, the AGO shall send a notice of intent to deny the </w:t>
      </w:r>
      <w:proofErr w:type="spellStart"/>
      <w:r w:rsidR="009A4A23">
        <w:t>TPM</w:t>
      </w:r>
      <w:proofErr w:type="spellEnd"/>
      <w:r w:rsidR="009A4A23">
        <w:t xml:space="preserve"> or its agent for service of process.  The notice of intent to deny shall include</w:t>
      </w:r>
      <w:r>
        <w:t>:</w:t>
      </w:r>
    </w:p>
    <w:p w14:paraId="2B90906B" w14:textId="77777777" w:rsidR="009A4A23" w:rsidRDefault="009A4A23" w:rsidP="00CA282C"/>
    <w:p w14:paraId="6401309C" w14:textId="77777777" w:rsidR="009A4A23" w:rsidRDefault="00660CF5" w:rsidP="00660CF5">
      <w:pPr>
        <w:ind w:left="2880" w:hanging="720"/>
      </w:pPr>
      <w:r>
        <w:t>A</w:t>
      </w:r>
      <w:r w:rsidR="009A4A23">
        <w:t>)</w:t>
      </w:r>
      <w:r w:rsidR="009A4A23">
        <w:tab/>
        <w:t xml:space="preserve">the factual and legal deficiencies upon which the </w:t>
      </w:r>
      <w:proofErr w:type="spellStart"/>
      <w:r w:rsidR="009A4A23">
        <w:t>AGO's</w:t>
      </w:r>
      <w:proofErr w:type="spellEnd"/>
      <w:r w:rsidR="009A4A23">
        <w:t xml:space="preserve"> intended action rests</w:t>
      </w:r>
      <w:r w:rsidR="00A3359F">
        <w:t>;</w:t>
      </w:r>
    </w:p>
    <w:p w14:paraId="1CB2C56A" w14:textId="77777777" w:rsidR="009A4A23" w:rsidRDefault="009A4A23" w:rsidP="00CA282C"/>
    <w:p w14:paraId="114C26D6" w14:textId="77777777" w:rsidR="009A4A23" w:rsidRDefault="00660CF5" w:rsidP="00660CF5">
      <w:pPr>
        <w:ind w:left="2880" w:hanging="720"/>
      </w:pPr>
      <w:r>
        <w:t>B</w:t>
      </w:r>
      <w:r w:rsidR="009A4A23">
        <w:t>)</w:t>
      </w:r>
      <w:r w:rsidR="009A4A23">
        <w:tab/>
        <w:t xml:space="preserve">the actions that the </w:t>
      </w:r>
      <w:proofErr w:type="spellStart"/>
      <w:r w:rsidR="009A4A23">
        <w:t>TPM</w:t>
      </w:r>
      <w:proofErr w:type="spellEnd"/>
      <w:r w:rsidR="009A4A23">
        <w:t xml:space="preserve"> must undertake to cure the factual or legal deficiencies upon which the intended action is based</w:t>
      </w:r>
      <w:r w:rsidR="00A3359F">
        <w:t>;</w:t>
      </w:r>
      <w:r w:rsidR="00506F53">
        <w:t xml:space="preserve"> and</w:t>
      </w:r>
    </w:p>
    <w:p w14:paraId="317AA37B" w14:textId="77777777" w:rsidR="009A4A23" w:rsidRDefault="009A4A23" w:rsidP="00CA282C"/>
    <w:p w14:paraId="48DE60F4" w14:textId="77777777" w:rsidR="009A4A23" w:rsidRDefault="00660CF5" w:rsidP="00660CF5">
      <w:pPr>
        <w:ind w:left="2880" w:hanging="720"/>
      </w:pPr>
      <w:r>
        <w:t>C</w:t>
      </w:r>
      <w:r w:rsidR="009A4A23">
        <w:t>)</w:t>
      </w:r>
      <w:r w:rsidR="009A4A23">
        <w:tab/>
        <w:t xml:space="preserve">a notification that the </w:t>
      </w:r>
      <w:proofErr w:type="spellStart"/>
      <w:r w:rsidR="009A4A23">
        <w:t>TPM</w:t>
      </w:r>
      <w:proofErr w:type="spellEnd"/>
      <w:r w:rsidR="009A4A23">
        <w:t xml:space="preserve"> shall have 10 calendar days to cure deficiencies and submit documentation or other information of its attempt to cure to the AGO.</w:t>
      </w:r>
    </w:p>
    <w:p w14:paraId="163A3E1F" w14:textId="77777777" w:rsidR="009A4A23" w:rsidRDefault="009A4A23" w:rsidP="00CA282C"/>
    <w:p w14:paraId="536DD7B1" w14:textId="77777777" w:rsidR="009A4A23" w:rsidRDefault="00660CF5" w:rsidP="009A4A23">
      <w:pPr>
        <w:ind w:left="2160" w:hanging="720"/>
      </w:pPr>
      <w:r>
        <w:t>2)</w:t>
      </w:r>
      <w:r>
        <w:tab/>
      </w:r>
      <w:r w:rsidR="009A4A23">
        <w:t xml:space="preserve">The AGO may extend the time period for a </w:t>
      </w:r>
      <w:proofErr w:type="spellStart"/>
      <w:r w:rsidR="009A4A23">
        <w:t>TPM</w:t>
      </w:r>
      <w:proofErr w:type="spellEnd"/>
      <w:r w:rsidR="009A4A23">
        <w:t xml:space="preserve"> to cure its deficiencies.</w:t>
      </w:r>
    </w:p>
    <w:p w14:paraId="37F8967D" w14:textId="77777777" w:rsidR="009A4A23" w:rsidRDefault="009A4A23" w:rsidP="00CA282C"/>
    <w:p w14:paraId="56B2168C" w14:textId="77777777" w:rsidR="009A4A23" w:rsidRDefault="009A4A23" w:rsidP="009A4A23">
      <w:pPr>
        <w:ind w:left="1425" w:hanging="684"/>
      </w:pPr>
      <w:r>
        <w:t>c)</w:t>
      </w:r>
      <w:r>
        <w:tab/>
        <w:t xml:space="preserve">If the </w:t>
      </w:r>
      <w:proofErr w:type="spellStart"/>
      <w:r>
        <w:t>TPM's</w:t>
      </w:r>
      <w:proofErr w:type="spellEnd"/>
      <w:r>
        <w:t xml:space="preserve"> deficiencies have been cured, a notice of approval shall be sent to the </w:t>
      </w:r>
      <w:proofErr w:type="spellStart"/>
      <w:r>
        <w:t>TPM</w:t>
      </w:r>
      <w:proofErr w:type="spellEnd"/>
      <w:r>
        <w:t xml:space="preserve"> or its agent for service of process.  If the </w:t>
      </w:r>
      <w:proofErr w:type="spellStart"/>
      <w:r>
        <w:t>TPM's</w:t>
      </w:r>
      <w:proofErr w:type="spellEnd"/>
      <w:r>
        <w:t xml:space="preserve"> deficiencies have not been cured, a notice of removal or refusal to list shall be sent to the </w:t>
      </w:r>
      <w:proofErr w:type="spellStart"/>
      <w:r>
        <w:t>TPM</w:t>
      </w:r>
      <w:proofErr w:type="spellEnd"/>
      <w:r>
        <w:t xml:space="preserve"> or its agent for service of process.  The notice of approval, removal or refusal to list shall be sent by certified or registered U.S. Mail or by other commercial mail delivery service 10 days prior to the change.  The notice of approval, removal or refusal to list shall be a final administrative decision.  Any </w:t>
      </w:r>
      <w:proofErr w:type="spellStart"/>
      <w:r>
        <w:t>TPM</w:t>
      </w:r>
      <w:proofErr w:type="spellEnd"/>
      <w:r>
        <w:t xml:space="preserve"> may request judicial review of the final administrative</w:t>
      </w:r>
      <w:r w:rsidR="00AB3C73">
        <w:t xml:space="preserve"> decision </w:t>
      </w:r>
      <w:r w:rsidR="00F149AF">
        <w:t>in</w:t>
      </w:r>
      <w:r w:rsidR="00AB3C73">
        <w:t xml:space="preserve"> the manner set forth in Section 250.100.</w:t>
      </w:r>
    </w:p>
    <w:p w14:paraId="0917CA3C" w14:textId="77777777" w:rsidR="009A4A23" w:rsidRDefault="009A4A23" w:rsidP="00CA282C"/>
    <w:p w14:paraId="70B61D4F" w14:textId="77777777" w:rsidR="00A739CD" w:rsidRDefault="00AB3C73" w:rsidP="00AB3C73">
      <w:pPr>
        <w:ind w:left="1440" w:hanging="699"/>
      </w:pPr>
      <w:r>
        <w:t>d)</w:t>
      </w:r>
      <w:r>
        <w:tab/>
        <w:t xml:space="preserve">If the AGO decides to add or remove a </w:t>
      </w:r>
      <w:proofErr w:type="spellStart"/>
      <w:r>
        <w:t>TPM</w:t>
      </w:r>
      <w:proofErr w:type="spellEnd"/>
      <w:r>
        <w:t xml:space="preserve"> or brand family from the directory, notice</w:t>
      </w:r>
      <w:r w:rsidR="00A739CD">
        <w:t xml:space="preserve"> shall be </w:t>
      </w:r>
      <w:r w:rsidR="00812DA7">
        <w:t>provided</w:t>
      </w:r>
      <w:r w:rsidR="00A739CD">
        <w:t xml:space="preserve"> to distributors</w:t>
      </w:r>
      <w:r>
        <w:t xml:space="preserve">.  The notice to distributors shall be </w:t>
      </w:r>
      <w:r w:rsidR="00812DA7">
        <w:t>provided</w:t>
      </w:r>
      <w:r>
        <w:t xml:space="preserve"> by U.S. Mail</w:t>
      </w:r>
      <w:r w:rsidR="00812DA7">
        <w:t>,</w:t>
      </w:r>
      <w:r>
        <w:t xml:space="preserve"> other commercial mail delivery service</w:t>
      </w:r>
      <w:r w:rsidR="00812DA7">
        <w:t>, electronic mail or facsimile</w:t>
      </w:r>
      <w:r w:rsidR="00A739CD">
        <w:t xml:space="preserve"> 10 calendar days prior to the change.  </w:t>
      </w:r>
      <w:r w:rsidR="00812DA7">
        <w:t xml:space="preserve">In </w:t>
      </w:r>
      <w:r w:rsidR="00AD5957">
        <w:t>addition</w:t>
      </w:r>
      <w:r w:rsidR="00812DA7">
        <w:t xml:space="preserve">, notice of the directory change may be published on the </w:t>
      </w:r>
      <w:proofErr w:type="spellStart"/>
      <w:r w:rsidR="00812DA7">
        <w:t>AGO's</w:t>
      </w:r>
      <w:proofErr w:type="spellEnd"/>
      <w:r w:rsidR="00812DA7">
        <w:t xml:space="preserve"> website (</w:t>
      </w:r>
      <w:r w:rsidR="00EA1D3C" w:rsidRPr="00EA1D3C">
        <w:t>www.illinoisattorneygeneral.gov</w:t>
      </w:r>
      <w:r w:rsidR="00812DA7">
        <w:t>) 10 calendar days prior to the change.</w:t>
      </w:r>
    </w:p>
    <w:p w14:paraId="158F64C6" w14:textId="77777777" w:rsidR="00A739CD" w:rsidRDefault="00A739CD" w:rsidP="00CA282C"/>
    <w:p w14:paraId="3919CA2F" w14:textId="77777777" w:rsidR="00A739CD" w:rsidRDefault="00AB3C73" w:rsidP="00A739CD">
      <w:pPr>
        <w:ind w:left="1440" w:hanging="720"/>
      </w:pPr>
      <w:r>
        <w:t>e</w:t>
      </w:r>
      <w:r w:rsidR="00A739CD">
        <w:t>)</w:t>
      </w:r>
      <w:r w:rsidR="00A739CD">
        <w:tab/>
        <w:t xml:space="preserve">The AGO shall not place an </w:t>
      </w:r>
      <w:proofErr w:type="spellStart"/>
      <w:r w:rsidR="00A739CD">
        <w:t>NPM</w:t>
      </w:r>
      <w:proofErr w:type="spellEnd"/>
      <w:r w:rsidR="00A739CD">
        <w:t xml:space="preserve"> on the directory of compliant </w:t>
      </w:r>
      <w:proofErr w:type="spellStart"/>
      <w:r w:rsidR="00A739CD">
        <w:t>NPMs</w:t>
      </w:r>
      <w:proofErr w:type="spellEnd"/>
      <w:r w:rsidR="00A739CD">
        <w:t xml:space="preserve"> unless all outstanding final judgments (including interest thereon) for violations of the Escrow Act and the Escrow Enforcement Act have been fully satisfied for that brand family and </w:t>
      </w:r>
      <w:proofErr w:type="spellStart"/>
      <w:r w:rsidR="00A739CD">
        <w:t>NPM</w:t>
      </w:r>
      <w:proofErr w:type="spellEnd"/>
      <w:r w:rsidR="00A739CD">
        <w:t>, and:</w:t>
      </w:r>
    </w:p>
    <w:p w14:paraId="2D6E4724" w14:textId="77777777" w:rsidR="00A739CD" w:rsidRDefault="00A739CD" w:rsidP="00CA282C"/>
    <w:p w14:paraId="7AABF04A" w14:textId="77777777" w:rsidR="00A739CD" w:rsidRDefault="00A739CD" w:rsidP="00D906A2">
      <w:pPr>
        <w:ind w:left="2160" w:hanging="720"/>
      </w:pPr>
      <w:r>
        <w:t>1)</w:t>
      </w:r>
      <w:r>
        <w:tab/>
        <w:t xml:space="preserve">the </w:t>
      </w:r>
      <w:proofErr w:type="spellStart"/>
      <w:r>
        <w:t>NPM</w:t>
      </w:r>
      <w:proofErr w:type="spellEnd"/>
      <w:r>
        <w:t xml:space="preserve"> has had sales in one or more Liability Years prior to the date of the directory</w:t>
      </w:r>
      <w:r w:rsidR="007B3F55">
        <w:t>'</w:t>
      </w:r>
      <w:r>
        <w:t>s publication and it is in full compliance with its escrow obligations under the Escrow Act and the Escrow Enforcement Act and Section 250.70 as to such sales, including the payment of any applicable penalties; or</w:t>
      </w:r>
    </w:p>
    <w:p w14:paraId="312E3A46" w14:textId="77777777" w:rsidR="00A739CD" w:rsidRDefault="00A739CD" w:rsidP="00CA282C"/>
    <w:p w14:paraId="557E5EC7" w14:textId="77777777" w:rsidR="00A739CD" w:rsidRDefault="00A739CD" w:rsidP="00D906A2">
      <w:pPr>
        <w:ind w:left="2160" w:hanging="720"/>
      </w:pPr>
      <w:r>
        <w:t>2)</w:t>
      </w:r>
      <w:r>
        <w:tab/>
        <w:t xml:space="preserve">the </w:t>
      </w:r>
      <w:proofErr w:type="spellStart"/>
      <w:r>
        <w:t>NPM</w:t>
      </w:r>
      <w:proofErr w:type="spellEnd"/>
      <w:r>
        <w:t xml:space="preserve"> is a successor to a tobacco product manufacturer that has had sales in one or more Liability Years prior to the date of the directory</w:t>
      </w:r>
      <w:r w:rsidR="007B3F55">
        <w:t>'</w:t>
      </w:r>
      <w:r>
        <w:t>s publication, and it has deposited funds into a qualified escrow account to fully fund all prior Liability Year obligations for all of its predecessor</w:t>
      </w:r>
      <w:r w:rsidR="007B3F55">
        <w:t>'</w:t>
      </w:r>
      <w:r>
        <w:t xml:space="preserve">s brands and paid all the penalties due for all such brands for all prior Liability Years, if the </w:t>
      </w:r>
      <w:proofErr w:type="spellStart"/>
      <w:r>
        <w:t>NPM</w:t>
      </w:r>
      <w:r w:rsidR="007B3F55">
        <w:t>'</w:t>
      </w:r>
      <w:r>
        <w:t>s</w:t>
      </w:r>
      <w:proofErr w:type="spellEnd"/>
      <w:r>
        <w:t xml:space="preserve"> predecessor has not already done so; or</w:t>
      </w:r>
    </w:p>
    <w:p w14:paraId="6C06DFD7" w14:textId="77777777" w:rsidR="00A739CD" w:rsidRDefault="00A739CD" w:rsidP="00CA282C"/>
    <w:p w14:paraId="5EC63C5B" w14:textId="77777777" w:rsidR="00A739CD" w:rsidRDefault="00A739CD" w:rsidP="00D906A2">
      <w:pPr>
        <w:ind w:left="2160" w:hanging="720"/>
      </w:pPr>
      <w:r>
        <w:t>3)</w:t>
      </w:r>
      <w:r>
        <w:tab/>
        <w:t xml:space="preserve">the </w:t>
      </w:r>
      <w:proofErr w:type="spellStart"/>
      <w:r>
        <w:t>NPM</w:t>
      </w:r>
      <w:proofErr w:type="spellEnd"/>
      <w:r>
        <w:t xml:space="preserve"> has had no sales in any prior Liability Years but has established a qualifying </w:t>
      </w:r>
      <w:r w:rsidR="00796591">
        <w:t>e</w:t>
      </w:r>
      <w:r>
        <w:t xml:space="preserve">scrow </w:t>
      </w:r>
      <w:r w:rsidR="00796591">
        <w:t>a</w:t>
      </w:r>
      <w:r>
        <w:t>ccount (as evidenced by an approved Escrow Agreement) and is otherwise compliant with the Escrow Act and the Escrow Enforcement Act.</w:t>
      </w:r>
    </w:p>
    <w:p w14:paraId="760655A2" w14:textId="77777777" w:rsidR="00A739CD" w:rsidRDefault="00A739CD" w:rsidP="00CA282C"/>
    <w:p w14:paraId="6C101B3D" w14:textId="77777777" w:rsidR="00A739CD" w:rsidRDefault="00AB3C73" w:rsidP="00A739CD">
      <w:pPr>
        <w:ind w:left="1440" w:hanging="720"/>
      </w:pPr>
      <w:r>
        <w:t>f</w:t>
      </w:r>
      <w:r w:rsidR="00A739CD">
        <w:t>)</w:t>
      </w:r>
      <w:r w:rsidR="00A739CD">
        <w:tab/>
        <w:t xml:space="preserve">Under Section 15(a)(2) of the Escrow Act, each </w:t>
      </w:r>
      <w:proofErr w:type="spellStart"/>
      <w:r w:rsidR="00A739CD">
        <w:t>NPM</w:t>
      </w:r>
      <w:proofErr w:type="spellEnd"/>
      <w:r w:rsidR="00A739CD">
        <w:t xml:space="preserve"> for a particular brand family is jointly and severally liable with every other </w:t>
      </w:r>
      <w:proofErr w:type="spellStart"/>
      <w:r w:rsidR="00A739CD">
        <w:t>NPM</w:t>
      </w:r>
      <w:proofErr w:type="spellEnd"/>
      <w:r w:rsidR="00A739CD">
        <w:t xml:space="preserve"> for that particular brand family for all Liability Year escrow obligations and penalties.</w:t>
      </w:r>
    </w:p>
    <w:p w14:paraId="40F1E8DF" w14:textId="77777777" w:rsidR="00A739CD" w:rsidRDefault="00A739CD" w:rsidP="00CA282C"/>
    <w:p w14:paraId="1B7F9AA4" w14:textId="77777777" w:rsidR="00A739CD" w:rsidRDefault="00AB3C73" w:rsidP="00A739CD">
      <w:pPr>
        <w:ind w:left="1440" w:hanging="720"/>
      </w:pPr>
      <w:r>
        <w:t>g</w:t>
      </w:r>
      <w:r w:rsidR="00A739CD">
        <w:t>)</w:t>
      </w:r>
      <w:r w:rsidR="00A739CD">
        <w:tab/>
        <w:t xml:space="preserve">In determining compliance for purposes of placing </w:t>
      </w:r>
      <w:r>
        <w:t xml:space="preserve">a </w:t>
      </w:r>
      <w:proofErr w:type="spellStart"/>
      <w:r>
        <w:t>TPM</w:t>
      </w:r>
      <w:proofErr w:type="spellEnd"/>
      <w:r w:rsidR="00A739CD">
        <w:t xml:space="preserve"> on the directory of </w:t>
      </w:r>
      <w:r>
        <w:t xml:space="preserve">participating manufacturers and the directory of </w:t>
      </w:r>
      <w:r w:rsidR="00A739CD">
        <w:t xml:space="preserve">compliant </w:t>
      </w:r>
      <w:proofErr w:type="spellStart"/>
      <w:r w:rsidR="00A739CD">
        <w:t>NPMs</w:t>
      </w:r>
      <w:proofErr w:type="spellEnd"/>
      <w:r w:rsidR="00A739CD">
        <w:t>, the AGO may consider the following</w:t>
      </w:r>
      <w:r>
        <w:t xml:space="preserve"> factors</w:t>
      </w:r>
      <w:r w:rsidR="00A739CD">
        <w:t>:</w:t>
      </w:r>
    </w:p>
    <w:p w14:paraId="095C4113" w14:textId="77777777" w:rsidR="00A739CD" w:rsidRDefault="00A739CD" w:rsidP="00CA282C"/>
    <w:p w14:paraId="333931EC" w14:textId="77777777" w:rsidR="00AB3C73" w:rsidRDefault="00A739CD" w:rsidP="00AB3C73">
      <w:pPr>
        <w:ind w:left="2160" w:hanging="720"/>
      </w:pPr>
      <w:r>
        <w:t>1)</w:t>
      </w:r>
      <w:r>
        <w:tab/>
      </w:r>
      <w:r w:rsidR="00AB3C73">
        <w:t>the requirements for placement on the directory as set forth in this Part and in the Acts;</w:t>
      </w:r>
    </w:p>
    <w:p w14:paraId="343CF12B" w14:textId="77777777" w:rsidR="00AB3C73" w:rsidRDefault="00AB3C73" w:rsidP="00CA282C"/>
    <w:p w14:paraId="20FCCE92" w14:textId="77777777" w:rsidR="00A739CD" w:rsidRDefault="00AB3C73" w:rsidP="00AB3C73">
      <w:pPr>
        <w:ind w:left="2160" w:hanging="720"/>
      </w:pPr>
      <w:r>
        <w:t>2)</w:t>
      </w:r>
      <w:r>
        <w:tab/>
      </w:r>
      <w:r w:rsidR="00A739CD">
        <w:t>distributor filings;</w:t>
      </w:r>
    </w:p>
    <w:p w14:paraId="1D8D899D" w14:textId="77777777" w:rsidR="00A739CD" w:rsidRDefault="00A739CD" w:rsidP="00CA282C"/>
    <w:p w14:paraId="59E505F4" w14:textId="77777777" w:rsidR="00A739CD" w:rsidRDefault="00AB3C73" w:rsidP="00D906A2">
      <w:pPr>
        <w:ind w:left="1440"/>
      </w:pPr>
      <w:r>
        <w:t>3</w:t>
      </w:r>
      <w:r w:rsidR="00A739CD">
        <w:t>)</w:t>
      </w:r>
      <w:r w:rsidR="00A739CD">
        <w:tab/>
        <w:t xml:space="preserve">the </w:t>
      </w:r>
      <w:proofErr w:type="spellStart"/>
      <w:r>
        <w:t>TPM's</w:t>
      </w:r>
      <w:proofErr w:type="spellEnd"/>
      <w:r w:rsidR="00A739CD">
        <w:t xml:space="preserve"> certifications</w:t>
      </w:r>
      <w:r>
        <w:t>,</w:t>
      </w:r>
      <w:r w:rsidR="00A739CD">
        <w:t xml:space="preserve"> affidavits</w:t>
      </w:r>
      <w:r>
        <w:t>, and supporting documents</w:t>
      </w:r>
      <w:r w:rsidR="00A739CD">
        <w:t>;</w:t>
      </w:r>
    </w:p>
    <w:p w14:paraId="42224B24" w14:textId="77777777" w:rsidR="00AB3C73" w:rsidRDefault="00AB3C73" w:rsidP="00CA282C"/>
    <w:p w14:paraId="38A97454" w14:textId="77777777" w:rsidR="00AB3C73" w:rsidRDefault="00AB3C73" w:rsidP="00AB3C73">
      <w:pPr>
        <w:ind w:left="2160" w:hanging="720"/>
      </w:pPr>
      <w:r>
        <w:t>4)</w:t>
      </w:r>
      <w:r>
        <w:tab/>
        <w:t xml:space="preserve">the lack of completeness of the </w:t>
      </w:r>
      <w:proofErr w:type="spellStart"/>
      <w:r>
        <w:t>TPM's</w:t>
      </w:r>
      <w:proofErr w:type="spellEnd"/>
      <w:r>
        <w:t xml:space="preserve"> certifications, affidavits, and supporting documents;</w:t>
      </w:r>
    </w:p>
    <w:p w14:paraId="57E08298" w14:textId="77777777" w:rsidR="00AB3C73" w:rsidRDefault="00AB3C73" w:rsidP="00CA282C"/>
    <w:p w14:paraId="5AFEF761" w14:textId="77777777" w:rsidR="00A739CD" w:rsidRDefault="00AB3C73" w:rsidP="00D906A2">
      <w:pPr>
        <w:ind w:left="1440"/>
      </w:pPr>
      <w:r>
        <w:t>5</w:t>
      </w:r>
      <w:r w:rsidR="00A739CD">
        <w:t>)</w:t>
      </w:r>
      <w:r w:rsidR="00A739CD">
        <w:tab/>
        <w:t xml:space="preserve">the </w:t>
      </w:r>
      <w:proofErr w:type="spellStart"/>
      <w:r w:rsidR="00A739CD">
        <w:t>NPM</w:t>
      </w:r>
      <w:r w:rsidR="007B3F55">
        <w:t>'</w:t>
      </w:r>
      <w:r w:rsidR="00A739CD">
        <w:t>s</w:t>
      </w:r>
      <w:proofErr w:type="spellEnd"/>
      <w:r w:rsidR="00A739CD">
        <w:t xml:space="preserve"> escrow agreement;</w:t>
      </w:r>
    </w:p>
    <w:p w14:paraId="02652F3D" w14:textId="77777777" w:rsidR="00191492" w:rsidRDefault="00191492" w:rsidP="00CA282C"/>
    <w:p w14:paraId="7ED1F951" w14:textId="77777777" w:rsidR="00191492" w:rsidRDefault="00191492" w:rsidP="00191492">
      <w:pPr>
        <w:ind w:left="2160" w:hanging="720"/>
      </w:pPr>
      <w:r>
        <w:t>6)</w:t>
      </w:r>
      <w:r>
        <w:tab/>
        <w:t xml:space="preserve">the failure of a </w:t>
      </w:r>
      <w:proofErr w:type="spellStart"/>
      <w:r>
        <w:t>TPM</w:t>
      </w:r>
      <w:proofErr w:type="spellEnd"/>
      <w:r>
        <w:t xml:space="preserve"> who is a PM to generally perform its financial obligations under the </w:t>
      </w:r>
      <w:proofErr w:type="spellStart"/>
      <w:r>
        <w:t>MSA</w:t>
      </w:r>
      <w:proofErr w:type="spellEnd"/>
      <w:r>
        <w:t xml:space="preserve">, or of the </w:t>
      </w:r>
      <w:proofErr w:type="spellStart"/>
      <w:r>
        <w:t>TPM</w:t>
      </w:r>
      <w:proofErr w:type="spellEnd"/>
      <w:r>
        <w:t xml:space="preserve">, predecessor of the </w:t>
      </w:r>
      <w:proofErr w:type="spellStart"/>
      <w:r>
        <w:t>TPM</w:t>
      </w:r>
      <w:proofErr w:type="spellEnd"/>
      <w:r>
        <w:t xml:space="preserve">, or </w:t>
      </w:r>
      <w:r>
        <w:lastRenderedPageBreak/>
        <w:t xml:space="preserve">previous </w:t>
      </w:r>
      <w:proofErr w:type="spellStart"/>
      <w:r>
        <w:t>TPM</w:t>
      </w:r>
      <w:proofErr w:type="spellEnd"/>
      <w:r>
        <w:t xml:space="preserve"> of the brand families to make its full </w:t>
      </w:r>
      <w:proofErr w:type="spellStart"/>
      <w:r>
        <w:t>MSA</w:t>
      </w:r>
      <w:proofErr w:type="spellEnd"/>
      <w:r>
        <w:t xml:space="preserve"> payments unless as </w:t>
      </w:r>
      <w:r w:rsidR="00FC07DC">
        <w:t xml:space="preserve">otherwise </w:t>
      </w:r>
      <w:r>
        <w:t xml:space="preserve">provided in </w:t>
      </w:r>
      <w:proofErr w:type="spellStart"/>
      <w:r>
        <w:t>MSA</w:t>
      </w:r>
      <w:proofErr w:type="spellEnd"/>
      <w:r>
        <w:t xml:space="preserve"> </w:t>
      </w:r>
      <w:r w:rsidR="00A3359F">
        <w:t>Section</w:t>
      </w:r>
      <w:r>
        <w:t xml:space="preserve"> XI(d);</w:t>
      </w:r>
    </w:p>
    <w:p w14:paraId="5856A78A" w14:textId="77777777" w:rsidR="00191492" w:rsidRDefault="00191492" w:rsidP="00CA282C"/>
    <w:p w14:paraId="0F664781" w14:textId="77777777" w:rsidR="00191492" w:rsidRDefault="00191492" w:rsidP="00191492">
      <w:pPr>
        <w:ind w:left="2160" w:hanging="720"/>
      </w:pPr>
      <w:r>
        <w:t>7)</w:t>
      </w:r>
      <w:r>
        <w:tab/>
        <w:t xml:space="preserve">the failure of the </w:t>
      </w:r>
      <w:proofErr w:type="spellStart"/>
      <w:r>
        <w:t>NPM</w:t>
      </w:r>
      <w:proofErr w:type="spellEnd"/>
      <w:r>
        <w:t xml:space="preserve">, predecessor of the </w:t>
      </w:r>
      <w:proofErr w:type="spellStart"/>
      <w:r>
        <w:t>NPM</w:t>
      </w:r>
      <w:proofErr w:type="spellEnd"/>
      <w:r>
        <w:t xml:space="preserve">, or previous </w:t>
      </w:r>
      <w:proofErr w:type="spellStart"/>
      <w:r>
        <w:t>NPM</w:t>
      </w:r>
      <w:proofErr w:type="spellEnd"/>
      <w:r>
        <w:t xml:space="preserve"> of the brand families to timely pay or full</w:t>
      </w:r>
      <w:r w:rsidR="00F149AF">
        <w:t>y</w:t>
      </w:r>
      <w:r>
        <w:t xml:space="preserve"> fund its qualified escrow account or to timely or entire</w:t>
      </w:r>
      <w:r w:rsidR="00F149AF">
        <w:t>ly</w:t>
      </w:r>
      <w:r>
        <w:t xml:space="preserve"> pay judgments or penalties due to a qualified escrow account or to the AGO under the Escrow Act or other states' tobacco statutes;</w:t>
      </w:r>
    </w:p>
    <w:p w14:paraId="61D1E8B1" w14:textId="77777777" w:rsidR="00A739CD" w:rsidRDefault="00A739CD" w:rsidP="00CA282C"/>
    <w:p w14:paraId="4CD8BD6B" w14:textId="77777777" w:rsidR="00A739CD" w:rsidRDefault="00191492" w:rsidP="00C95AB8">
      <w:pPr>
        <w:ind w:left="2160" w:hanging="720"/>
      </w:pPr>
      <w:r>
        <w:t>8</w:t>
      </w:r>
      <w:r w:rsidR="00C95AB8">
        <w:t>)</w:t>
      </w:r>
      <w:r w:rsidR="00C95AB8">
        <w:tab/>
        <w:t xml:space="preserve">whether the </w:t>
      </w:r>
      <w:proofErr w:type="spellStart"/>
      <w:r>
        <w:t>TPM</w:t>
      </w:r>
      <w:proofErr w:type="spellEnd"/>
      <w:r w:rsidR="00C95AB8">
        <w:t xml:space="preserve"> is, </w:t>
      </w:r>
      <w:r w:rsidR="009E5484">
        <w:t xml:space="preserve">in fact, </w:t>
      </w:r>
      <w:r w:rsidR="00C95AB8">
        <w:t xml:space="preserve">the manufacturer of the brands with respect to which the </w:t>
      </w:r>
      <w:proofErr w:type="spellStart"/>
      <w:r>
        <w:t>TPM</w:t>
      </w:r>
      <w:proofErr w:type="spellEnd"/>
      <w:r w:rsidR="00C95AB8">
        <w:t xml:space="preserve"> seeks to be listed as compliant; </w:t>
      </w:r>
    </w:p>
    <w:p w14:paraId="31E79A06" w14:textId="77777777" w:rsidR="00C95AB8" w:rsidRDefault="00C95AB8" w:rsidP="00CA282C"/>
    <w:p w14:paraId="1D0C9E17" w14:textId="77777777" w:rsidR="00191492" w:rsidRDefault="00191492" w:rsidP="00C95AB8">
      <w:pPr>
        <w:ind w:left="2160" w:hanging="720"/>
      </w:pPr>
      <w:r>
        <w:t>9)</w:t>
      </w:r>
      <w:r>
        <w:tab/>
        <w:t>whether acting on its own or through a distributor, wholesaler, retail</w:t>
      </w:r>
      <w:r w:rsidR="00F149AF">
        <w:t>er</w:t>
      </w:r>
      <w:r>
        <w:t xml:space="preserve">, or similar intermediary or intermediaries or another </w:t>
      </w:r>
      <w:proofErr w:type="spellStart"/>
      <w:r>
        <w:t>TPM</w:t>
      </w:r>
      <w:proofErr w:type="spellEnd"/>
      <w:r>
        <w:t xml:space="preserve">, the </w:t>
      </w:r>
      <w:proofErr w:type="spellStart"/>
      <w:r>
        <w:t>TPM's</w:t>
      </w:r>
      <w:proofErr w:type="spellEnd"/>
      <w:r>
        <w:t xml:space="preserve"> having engaged in business as a distributor (as defined in the Tobacco Products Tax Act of 1995 [35 </w:t>
      </w:r>
      <w:proofErr w:type="spellStart"/>
      <w:r>
        <w:t>ILCS</w:t>
      </w:r>
      <w:proofErr w:type="spellEnd"/>
      <w:r>
        <w:t xml:space="preserve"> 143]) without first having obtained a license to do so from the Department;</w:t>
      </w:r>
    </w:p>
    <w:p w14:paraId="08199DE5" w14:textId="77777777" w:rsidR="00191492" w:rsidRDefault="00191492" w:rsidP="00CA282C"/>
    <w:p w14:paraId="59CAFCE2" w14:textId="77777777" w:rsidR="00017178" w:rsidRDefault="00017178" w:rsidP="00F57BBA">
      <w:pPr>
        <w:ind w:left="2160" w:hanging="849"/>
      </w:pPr>
      <w:r>
        <w:t>10)</w:t>
      </w:r>
      <w:r>
        <w:tab/>
        <w:t xml:space="preserve">the </w:t>
      </w:r>
      <w:proofErr w:type="spellStart"/>
      <w:r>
        <w:t>TPM's</w:t>
      </w:r>
      <w:proofErr w:type="spellEnd"/>
      <w:r>
        <w:t xml:space="preserve"> failure to cure the deficiencies identified in a notice of intent to deny under this Part within 10 calendar days </w:t>
      </w:r>
      <w:r w:rsidR="00660CF5">
        <w:t>a</w:t>
      </w:r>
      <w:r>
        <w:t>f</w:t>
      </w:r>
      <w:r w:rsidR="00660CF5">
        <w:t>ter</w:t>
      </w:r>
      <w:r>
        <w:t xml:space="preserve"> receiving the notice;</w:t>
      </w:r>
    </w:p>
    <w:p w14:paraId="5B5447C3" w14:textId="77777777" w:rsidR="00017178" w:rsidRDefault="00017178" w:rsidP="00CA282C"/>
    <w:p w14:paraId="4B51DFA0" w14:textId="77777777" w:rsidR="00017178" w:rsidRDefault="00017178" w:rsidP="00F57BBA">
      <w:pPr>
        <w:ind w:left="2160" w:hanging="849"/>
      </w:pPr>
      <w:r>
        <w:t>11)</w:t>
      </w:r>
      <w:r>
        <w:tab/>
        <w:t xml:space="preserve">the </w:t>
      </w:r>
      <w:proofErr w:type="spellStart"/>
      <w:r>
        <w:t>TPM's</w:t>
      </w:r>
      <w:proofErr w:type="spellEnd"/>
      <w:r>
        <w:t xml:space="preserve"> failure to provide additional information as requested by the AGO;</w:t>
      </w:r>
    </w:p>
    <w:p w14:paraId="1EFCEA86" w14:textId="77777777" w:rsidR="00017178" w:rsidRDefault="00017178" w:rsidP="00CA282C"/>
    <w:p w14:paraId="67BDD1A5" w14:textId="77777777" w:rsidR="00C95AB8" w:rsidRDefault="00017178" w:rsidP="00F57BBA">
      <w:pPr>
        <w:ind w:left="2160" w:hanging="849"/>
      </w:pPr>
      <w:r>
        <w:t>12</w:t>
      </w:r>
      <w:r w:rsidR="00C95AB8">
        <w:t>)</w:t>
      </w:r>
      <w:r w:rsidR="00C95AB8">
        <w:tab/>
        <w:t xml:space="preserve">information from any other source (e.g., U.S. Department of the Treasury, Department of Revenue, distributors) that pertains to the verification of the accuracy of the information provided by the </w:t>
      </w:r>
      <w:proofErr w:type="spellStart"/>
      <w:r>
        <w:t>TPM</w:t>
      </w:r>
      <w:proofErr w:type="spellEnd"/>
      <w:r>
        <w:t>;</w:t>
      </w:r>
    </w:p>
    <w:p w14:paraId="7820A544" w14:textId="77777777" w:rsidR="00017178" w:rsidRDefault="00017178" w:rsidP="00CA282C"/>
    <w:p w14:paraId="17712B59" w14:textId="77777777" w:rsidR="00017178" w:rsidRDefault="00017178" w:rsidP="00F57BBA">
      <w:pPr>
        <w:ind w:left="2160" w:hanging="849"/>
      </w:pPr>
      <w:r>
        <w:t>13)</w:t>
      </w:r>
      <w:r>
        <w:tab/>
        <w:t xml:space="preserve">whether the </w:t>
      </w:r>
      <w:proofErr w:type="spellStart"/>
      <w:r>
        <w:t>TPM</w:t>
      </w:r>
      <w:proofErr w:type="spellEnd"/>
      <w:r>
        <w:t xml:space="preserve"> is controlled, managed, or operated by a person with a current or prior interest in any other </w:t>
      </w:r>
      <w:proofErr w:type="spellStart"/>
      <w:r>
        <w:t>TPM</w:t>
      </w:r>
      <w:proofErr w:type="spellEnd"/>
      <w:r>
        <w:t xml:space="preserve"> that is not or has not been compliant with the Escrow Act or </w:t>
      </w:r>
      <w:r w:rsidR="00F149AF">
        <w:t xml:space="preserve">that is </w:t>
      </w:r>
      <w:r>
        <w:t>the subject of an injunction for failure to comply with the Escrow Act; and</w:t>
      </w:r>
    </w:p>
    <w:p w14:paraId="6B98C2BB" w14:textId="77777777" w:rsidR="00017178" w:rsidRDefault="00017178" w:rsidP="00CA282C"/>
    <w:p w14:paraId="5E73721F" w14:textId="77777777" w:rsidR="00017178" w:rsidRPr="00C95AB8" w:rsidRDefault="00017178" w:rsidP="00F57BBA">
      <w:pPr>
        <w:ind w:left="2160" w:hanging="849"/>
      </w:pPr>
      <w:r>
        <w:t>14)</w:t>
      </w:r>
      <w:r>
        <w:tab/>
        <w:t xml:space="preserve">any other facts or circumstances that are relevant to the certification of the </w:t>
      </w:r>
      <w:proofErr w:type="spellStart"/>
      <w:r>
        <w:t>TPM</w:t>
      </w:r>
      <w:proofErr w:type="spellEnd"/>
      <w:r>
        <w:t>.</w:t>
      </w:r>
    </w:p>
    <w:p w14:paraId="0DEE0893" w14:textId="77777777" w:rsidR="00017178" w:rsidRDefault="00017178" w:rsidP="00CA282C"/>
    <w:p w14:paraId="7FCBA5CC" w14:textId="77777777" w:rsidR="00017178" w:rsidRPr="00D55B37" w:rsidRDefault="00812DA7">
      <w:pPr>
        <w:pStyle w:val="JCARSourceNote"/>
        <w:ind w:left="720"/>
      </w:pPr>
      <w:r>
        <w:t>(Source:  Amended at 4</w:t>
      </w:r>
      <w:r w:rsidR="00C63B29">
        <w:t>1</w:t>
      </w:r>
      <w:r>
        <w:t xml:space="preserve"> Ill. Reg. </w:t>
      </w:r>
      <w:r w:rsidR="00D318CC">
        <w:t>2068</w:t>
      </w:r>
      <w:r>
        <w:t xml:space="preserve">, effective </w:t>
      </w:r>
      <w:r w:rsidR="00D318CC">
        <w:t>February 2, 2017</w:t>
      </w:r>
      <w:r>
        <w:t>)</w:t>
      </w:r>
    </w:p>
    <w:sectPr w:rsidR="00017178"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D7CDD" w14:textId="77777777" w:rsidR="00DC7443" w:rsidRDefault="00DC7443">
      <w:r>
        <w:separator/>
      </w:r>
    </w:p>
  </w:endnote>
  <w:endnote w:type="continuationSeparator" w:id="0">
    <w:p w14:paraId="5E3193C5" w14:textId="77777777" w:rsidR="00DC7443" w:rsidRDefault="00DC7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47E5E" w14:textId="77777777" w:rsidR="00DC7443" w:rsidRDefault="00DC7443">
      <w:r>
        <w:separator/>
      </w:r>
    </w:p>
  </w:footnote>
  <w:footnote w:type="continuationSeparator" w:id="0">
    <w:p w14:paraId="387D49C6" w14:textId="77777777" w:rsidR="00DC7443" w:rsidRDefault="00DC7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F5075"/>
    <w:multiLevelType w:val="hybridMultilevel"/>
    <w:tmpl w:val="59208FCA"/>
    <w:lvl w:ilvl="0" w:tplc="91586170">
      <w:start w:val="7"/>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17178"/>
    <w:rsid w:val="00024E46"/>
    <w:rsid w:val="0002730E"/>
    <w:rsid w:val="00042E3B"/>
    <w:rsid w:val="00070D94"/>
    <w:rsid w:val="000A7FF8"/>
    <w:rsid w:val="000C20EF"/>
    <w:rsid w:val="000D225F"/>
    <w:rsid w:val="00106F7C"/>
    <w:rsid w:val="00147261"/>
    <w:rsid w:val="0015422F"/>
    <w:rsid w:val="00161550"/>
    <w:rsid w:val="00173B90"/>
    <w:rsid w:val="00191492"/>
    <w:rsid w:val="001C7D95"/>
    <w:rsid w:val="001E3074"/>
    <w:rsid w:val="00210783"/>
    <w:rsid w:val="00225354"/>
    <w:rsid w:val="002524EC"/>
    <w:rsid w:val="00260DAD"/>
    <w:rsid w:val="00271D6C"/>
    <w:rsid w:val="00292C0A"/>
    <w:rsid w:val="002A643F"/>
    <w:rsid w:val="002D1468"/>
    <w:rsid w:val="002F2D16"/>
    <w:rsid w:val="00315E6A"/>
    <w:rsid w:val="00337CEB"/>
    <w:rsid w:val="0036033C"/>
    <w:rsid w:val="00367A2E"/>
    <w:rsid w:val="00382A95"/>
    <w:rsid w:val="003B23A4"/>
    <w:rsid w:val="003C2466"/>
    <w:rsid w:val="003F3A28"/>
    <w:rsid w:val="003F5FD7"/>
    <w:rsid w:val="003F67E4"/>
    <w:rsid w:val="00403062"/>
    <w:rsid w:val="00431CFE"/>
    <w:rsid w:val="00452261"/>
    <w:rsid w:val="00465372"/>
    <w:rsid w:val="00496D2F"/>
    <w:rsid w:val="004D73D3"/>
    <w:rsid w:val="004F7ABE"/>
    <w:rsid w:val="005001C5"/>
    <w:rsid w:val="00500C4C"/>
    <w:rsid w:val="00506F53"/>
    <w:rsid w:val="0052308E"/>
    <w:rsid w:val="00530BE1"/>
    <w:rsid w:val="00542E97"/>
    <w:rsid w:val="00545A1C"/>
    <w:rsid w:val="005532E2"/>
    <w:rsid w:val="0056157E"/>
    <w:rsid w:val="0056501E"/>
    <w:rsid w:val="00612A04"/>
    <w:rsid w:val="006205BF"/>
    <w:rsid w:val="0063243A"/>
    <w:rsid w:val="006535D7"/>
    <w:rsid w:val="006541CA"/>
    <w:rsid w:val="00660CF5"/>
    <w:rsid w:val="006A2114"/>
    <w:rsid w:val="006D3990"/>
    <w:rsid w:val="00752C82"/>
    <w:rsid w:val="00776784"/>
    <w:rsid w:val="00780733"/>
    <w:rsid w:val="00796591"/>
    <w:rsid w:val="007A1F12"/>
    <w:rsid w:val="007B3F55"/>
    <w:rsid w:val="007C0CEB"/>
    <w:rsid w:val="007D211B"/>
    <w:rsid w:val="007D406F"/>
    <w:rsid w:val="00801FE3"/>
    <w:rsid w:val="00812DA7"/>
    <w:rsid w:val="008271B1"/>
    <w:rsid w:val="00837F88"/>
    <w:rsid w:val="0084781C"/>
    <w:rsid w:val="008630BA"/>
    <w:rsid w:val="008A3B8E"/>
    <w:rsid w:val="008E3F66"/>
    <w:rsid w:val="00932B5E"/>
    <w:rsid w:val="00935A8C"/>
    <w:rsid w:val="0098276C"/>
    <w:rsid w:val="009A4A23"/>
    <w:rsid w:val="009E15C9"/>
    <w:rsid w:val="009E5484"/>
    <w:rsid w:val="00A174BB"/>
    <w:rsid w:val="00A2265D"/>
    <w:rsid w:val="00A234D4"/>
    <w:rsid w:val="00A24A32"/>
    <w:rsid w:val="00A3359F"/>
    <w:rsid w:val="00A45AEB"/>
    <w:rsid w:val="00A600AA"/>
    <w:rsid w:val="00A739CD"/>
    <w:rsid w:val="00AB3C73"/>
    <w:rsid w:val="00AD5957"/>
    <w:rsid w:val="00AE1744"/>
    <w:rsid w:val="00AE5547"/>
    <w:rsid w:val="00B35D67"/>
    <w:rsid w:val="00B516F7"/>
    <w:rsid w:val="00B71177"/>
    <w:rsid w:val="00BD23A4"/>
    <w:rsid w:val="00BF4F52"/>
    <w:rsid w:val="00BF5EF1"/>
    <w:rsid w:val="00C14F7A"/>
    <w:rsid w:val="00C4537A"/>
    <w:rsid w:val="00C63B29"/>
    <w:rsid w:val="00C95AB8"/>
    <w:rsid w:val="00CA282C"/>
    <w:rsid w:val="00CB127F"/>
    <w:rsid w:val="00CC13F9"/>
    <w:rsid w:val="00CD3723"/>
    <w:rsid w:val="00CF350D"/>
    <w:rsid w:val="00D12F95"/>
    <w:rsid w:val="00D318CC"/>
    <w:rsid w:val="00D40C94"/>
    <w:rsid w:val="00D55B37"/>
    <w:rsid w:val="00D55C71"/>
    <w:rsid w:val="00D707FD"/>
    <w:rsid w:val="00D906A2"/>
    <w:rsid w:val="00D93C67"/>
    <w:rsid w:val="00DC7443"/>
    <w:rsid w:val="00DD54D4"/>
    <w:rsid w:val="00DF3FCF"/>
    <w:rsid w:val="00E26BC6"/>
    <w:rsid w:val="00E310D5"/>
    <w:rsid w:val="00E4449C"/>
    <w:rsid w:val="00E45B45"/>
    <w:rsid w:val="00E667E1"/>
    <w:rsid w:val="00E7288E"/>
    <w:rsid w:val="00EA1D3C"/>
    <w:rsid w:val="00EB265D"/>
    <w:rsid w:val="00EB424E"/>
    <w:rsid w:val="00EB617A"/>
    <w:rsid w:val="00EC500B"/>
    <w:rsid w:val="00EE3BBD"/>
    <w:rsid w:val="00EF040C"/>
    <w:rsid w:val="00EF700E"/>
    <w:rsid w:val="00F149AF"/>
    <w:rsid w:val="00F43DEE"/>
    <w:rsid w:val="00F57BBA"/>
    <w:rsid w:val="00F91C64"/>
    <w:rsid w:val="00FA558B"/>
    <w:rsid w:val="00FC07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0F0B9"/>
  <w15:docId w15:val="{2AA4D23B-0D1D-4F01-BBB6-E76836CB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39C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Indent2">
    <w:name w:val="Body Text Indent 2"/>
    <w:basedOn w:val="Normal"/>
    <w:rsid w:val="00A739CD"/>
    <w:pPr>
      <w:ind w:left="2160" w:hanging="2160"/>
    </w:pPr>
  </w:style>
  <w:style w:type="paragraph" w:styleId="BalloonText">
    <w:name w:val="Balloon Text"/>
    <w:basedOn w:val="Normal"/>
    <w:semiHidden/>
    <w:rsid w:val="007C0CEB"/>
    <w:rPr>
      <w:rFonts w:ascii="Tahoma" w:hAnsi="Tahoma" w:cs="Tahoma"/>
      <w:sz w:val="16"/>
      <w:szCs w:val="16"/>
    </w:rPr>
  </w:style>
  <w:style w:type="character" w:styleId="Hyperlink">
    <w:name w:val="Hyperlink"/>
    <w:basedOn w:val="DefaultParagraphFont"/>
    <w:unhideWhenUsed/>
    <w:rsid w:val="00812D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5</cp:revision>
  <dcterms:created xsi:type="dcterms:W3CDTF">2017-01-03T15:37:00Z</dcterms:created>
  <dcterms:modified xsi:type="dcterms:W3CDTF">2025-08-01T13:37:00Z</dcterms:modified>
</cp:coreProperties>
</file>