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360" w:rsidRDefault="005D5360" w:rsidP="005D53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5360" w:rsidRDefault="005D5360" w:rsidP="005D53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200.119  Notification</w:t>
      </w:r>
      <w:r>
        <w:t xml:space="preserve"> </w:t>
      </w:r>
    </w:p>
    <w:p w:rsidR="005D5360" w:rsidRDefault="005D5360" w:rsidP="005D5360">
      <w:pPr>
        <w:widowControl w:val="0"/>
        <w:autoSpaceDE w:val="0"/>
        <w:autoSpaceDN w:val="0"/>
        <w:adjustRightInd w:val="0"/>
      </w:pPr>
    </w:p>
    <w:p w:rsidR="005D5360" w:rsidRDefault="005D5360" w:rsidP="005D5360">
      <w:pPr>
        <w:widowControl w:val="0"/>
        <w:autoSpaceDE w:val="0"/>
        <w:autoSpaceDN w:val="0"/>
        <w:adjustRightInd w:val="0"/>
      </w:pPr>
      <w:r>
        <w:t xml:space="preserve">Notification in Section 10 of the Act means the listed documents required to be filed by the franchisor under Section 200.600 and UFOC General Instruction 110. </w:t>
      </w:r>
    </w:p>
    <w:p w:rsidR="005D5360" w:rsidRDefault="005D5360" w:rsidP="005D5360">
      <w:pPr>
        <w:widowControl w:val="0"/>
        <w:autoSpaceDE w:val="0"/>
        <w:autoSpaceDN w:val="0"/>
        <w:adjustRightInd w:val="0"/>
      </w:pPr>
    </w:p>
    <w:p w:rsidR="005D5360" w:rsidRDefault="005D5360" w:rsidP="005D536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11561, effective September 7, 1999) </w:t>
      </w:r>
    </w:p>
    <w:sectPr w:rsidR="005D5360" w:rsidSect="005D53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5360"/>
    <w:rsid w:val="001678D1"/>
    <w:rsid w:val="004A2ADA"/>
    <w:rsid w:val="005166B3"/>
    <w:rsid w:val="005D5360"/>
    <w:rsid w:val="00A6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