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A5" w:rsidRDefault="00567BA5" w:rsidP="00567B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7BA5" w:rsidRDefault="00567BA5" w:rsidP="00567B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200.110  Material</w:t>
      </w:r>
      <w:r>
        <w:t xml:space="preserve"> </w:t>
      </w:r>
    </w:p>
    <w:p w:rsidR="00567BA5" w:rsidRDefault="00567BA5" w:rsidP="00567BA5">
      <w:pPr>
        <w:widowControl w:val="0"/>
        <w:autoSpaceDE w:val="0"/>
        <w:autoSpaceDN w:val="0"/>
        <w:adjustRightInd w:val="0"/>
      </w:pPr>
    </w:p>
    <w:p w:rsidR="00567BA5" w:rsidRDefault="00567BA5" w:rsidP="00567BA5">
      <w:pPr>
        <w:widowControl w:val="0"/>
        <w:autoSpaceDE w:val="0"/>
        <w:autoSpaceDN w:val="0"/>
        <w:adjustRightInd w:val="0"/>
      </w:pPr>
      <w:r>
        <w:t xml:space="preserve">A statement or omission of fact is "material" within the meaning of the Act if there is a substantial likelihood that a reasonable prospective franchisee would consider it significant in making a decision to purchase or not purchase the franchise. </w:t>
      </w:r>
    </w:p>
    <w:p w:rsidR="00567BA5" w:rsidRDefault="00567BA5" w:rsidP="00567BA5">
      <w:pPr>
        <w:widowControl w:val="0"/>
        <w:autoSpaceDE w:val="0"/>
        <w:autoSpaceDN w:val="0"/>
        <w:adjustRightInd w:val="0"/>
      </w:pPr>
    </w:p>
    <w:p w:rsidR="00567BA5" w:rsidRDefault="00567BA5" w:rsidP="00567B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11561, effective September 7, 1999) </w:t>
      </w:r>
    </w:p>
    <w:sectPr w:rsidR="00567BA5" w:rsidSect="00567B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7BA5"/>
    <w:rsid w:val="001678D1"/>
    <w:rsid w:val="002B14E7"/>
    <w:rsid w:val="00567BA5"/>
    <w:rsid w:val="009B68F2"/>
    <w:rsid w:val="00E1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