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747" w:rsidRDefault="00E62747" w:rsidP="00E62747">
      <w:pPr>
        <w:widowControl w:val="0"/>
        <w:autoSpaceDE w:val="0"/>
        <w:autoSpaceDN w:val="0"/>
        <w:adjustRightInd w:val="0"/>
      </w:pPr>
      <w:bookmarkStart w:id="0" w:name="_GoBack"/>
      <w:bookmarkEnd w:id="0"/>
    </w:p>
    <w:p w:rsidR="00E62747" w:rsidRDefault="00E62747" w:rsidP="00E62747">
      <w:pPr>
        <w:widowControl w:val="0"/>
        <w:autoSpaceDE w:val="0"/>
        <w:autoSpaceDN w:val="0"/>
        <w:adjustRightInd w:val="0"/>
      </w:pPr>
      <w:r>
        <w:rPr>
          <w:b/>
          <w:bCs/>
        </w:rPr>
        <w:t>Section 178.125  Effect of Final Determination</w:t>
      </w:r>
      <w:r>
        <w:t xml:space="preserve"> </w:t>
      </w:r>
    </w:p>
    <w:p w:rsidR="00E62747" w:rsidRDefault="00E62747" w:rsidP="00E62747">
      <w:pPr>
        <w:widowControl w:val="0"/>
        <w:autoSpaceDE w:val="0"/>
        <w:autoSpaceDN w:val="0"/>
        <w:adjustRightInd w:val="0"/>
      </w:pPr>
    </w:p>
    <w:p w:rsidR="00E62747" w:rsidRDefault="00E62747" w:rsidP="00E62747">
      <w:pPr>
        <w:widowControl w:val="0"/>
        <w:autoSpaceDE w:val="0"/>
        <w:autoSpaceDN w:val="0"/>
        <w:adjustRightInd w:val="0"/>
      </w:pPr>
      <w:r>
        <w:t xml:space="preserve">A final determination under this Subpart that a limited liability company name is available is concerned solely with the administrative convenience of the Department of Business Service, Limited Liability Company Division and does not warrant the name selected or guarantee the unqualified use of the name without regard to the rights of other parties.  The Secretary of State does not pass upon the legality of a limited company name by merely permitting organization, qualification, reservation or registration under a name.  A final determination of limited liability company name unavailability shall not be based on deceptiveness, confusing similarity or other such considerations derived from unfair competition and trademark law. </w:t>
      </w:r>
    </w:p>
    <w:sectPr w:rsidR="00E62747" w:rsidSect="00E627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2747"/>
    <w:rsid w:val="001678D1"/>
    <w:rsid w:val="0042451D"/>
    <w:rsid w:val="00582CA0"/>
    <w:rsid w:val="00C37146"/>
    <w:rsid w:val="00E62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