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38" w:rsidRDefault="00920438" w:rsidP="009204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0438" w:rsidRDefault="00920438" w:rsidP="009204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150.430  Availability of Names:  Statutory Requirements</w:t>
      </w:r>
      <w:r>
        <w:t xml:space="preserve"> </w:t>
      </w:r>
    </w:p>
    <w:p w:rsidR="00920438" w:rsidRDefault="00920438" w:rsidP="00920438">
      <w:pPr>
        <w:widowControl w:val="0"/>
        <w:autoSpaceDE w:val="0"/>
        <w:autoSpaceDN w:val="0"/>
        <w:adjustRightInd w:val="0"/>
      </w:pPr>
    </w:p>
    <w:p w:rsidR="00920438" w:rsidRDefault="00920438" w:rsidP="00920438">
      <w:pPr>
        <w:widowControl w:val="0"/>
        <w:autoSpaceDE w:val="0"/>
        <w:autoSpaceDN w:val="0"/>
        <w:adjustRightInd w:val="0"/>
      </w:pPr>
      <w:r>
        <w:t xml:space="preserve">A proposed corporate name shall comply with the applicable provisions of the Business Corporation Act of 1983 [805 ILCS 5], the General Not For Profit Corporation Act [805 ILCS 105], the Professional Service Corporation Act [805 ILCS 10], the Medical Corporation Act [805 ILCS 15], the Close Corporation Act [805 ILCS 5/Art. 2A], and any other statute of this State which may prohibit or restrict corporate names. </w:t>
      </w:r>
    </w:p>
    <w:p w:rsidR="00920438" w:rsidRDefault="00920438" w:rsidP="00920438">
      <w:pPr>
        <w:widowControl w:val="0"/>
        <w:autoSpaceDE w:val="0"/>
        <w:autoSpaceDN w:val="0"/>
        <w:adjustRightInd w:val="0"/>
      </w:pPr>
    </w:p>
    <w:p w:rsidR="00920438" w:rsidRDefault="00920438" w:rsidP="009204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7026, effective May 8, 1996) </w:t>
      </w:r>
    </w:p>
    <w:sectPr w:rsidR="00920438" w:rsidSect="009204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0438"/>
    <w:rsid w:val="001678D1"/>
    <w:rsid w:val="00287B5D"/>
    <w:rsid w:val="008F4E38"/>
    <w:rsid w:val="00920438"/>
    <w:rsid w:val="0098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