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D2" w:rsidRDefault="00AE4DD2" w:rsidP="00AE4D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DD2" w:rsidRDefault="00AE4DD2" w:rsidP="00AE4D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145.805  Exemption for the Designation of Certified Turnaround Professional (CTP)</w:t>
      </w:r>
      <w:r>
        <w:t xml:space="preserve"> </w:t>
      </w:r>
    </w:p>
    <w:p w:rsidR="00AE4DD2" w:rsidRDefault="00AE4DD2" w:rsidP="00AE4DD2">
      <w:pPr>
        <w:widowControl w:val="0"/>
        <w:autoSpaceDE w:val="0"/>
        <w:autoSpaceDN w:val="0"/>
        <w:adjustRightInd w:val="0"/>
      </w:pPr>
    </w:p>
    <w:p w:rsidR="00AE4DD2" w:rsidRDefault="00AE4DD2" w:rsidP="00AE4DD2">
      <w:pPr>
        <w:widowControl w:val="0"/>
        <w:autoSpaceDE w:val="0"/>
        <w:autoSpaceDN w:val="0"/>
        <w:adjustRightInd w:val="0"/>
      </w:pPr>
      <w:r>
        <w:t xml:space="preserve">Any individual who has the designation of Certified Turnaround Professional (CTP) by the Association for Certified Turnaround Professional, while engaged in the practice of a Certified Turnaround Professional and whose service in relation to the loan broker transaction is incidental to his or her practice, is exempt from the requirements of this Act. </w:t>
      </w:r>
    </w:p>
    <w:p w:rsidR="00AE4DD2" w:rsidRDefault="00AE4DD2" w:rsidP="00AE4DD2">
      <w:pPr>
        <w:widowControl w:val="0"/>
        <w:autoSpaceDE w:val="0"/>
        <w:autoSpaceDN w:val="0"/>
        <w:adjustRightInd w:val="0"/>
      </w:pPr>
    </w:p>
    <w:p w:rsidR="00AE4DD2" w:rsidRDefault="00AE4DD2" w:rsidP="00AE4D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7233, effective April 15, 1998) </w:t>
      </w:r>
    </w:p>
    <w:sectPr w:rsidR="00AE4DD2" w:rsidSect="00AE4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DD2"/>
    <w:rsid w:val="001678D1"/>
    <w:rsid w:val="0068022F"/>
    <w:rsid w:val="0094219A"/>
    <w:rsid w:val="00AE4DD2"/>
    <w:rsid w:val="00C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