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D2" w:rsidRDefault="00A92CD2" w:rsidP="00A92C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2CD2" w:rsidRDefault="00A92CD2" w:rsidP="00A92C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140.2142  Additional Exhibits</w:t>
      </w:r>
      <w:r>
        <w:t xml:space="preserve"> </w:t>
      </w:r>
    </w:p>
    <w:p w:rsidR="00A92CD2" w:rsidRDefault="00A92CD2" w:rsidP="00A92CD2">
      <w:pPr>
        <w:widowControl w:val="0"/>
        <w:autoSpaceDE w:val="0"/>
        <w:autoSpaceDN w:val="0"/>
        <w:adjustRightInd w:val="0"/>
      </w:pPr>
    </w:p>
    <w:p w:rsidR="00A92CD2" w:rsidRDefault="00A92CD2" w:rsidP="00A92CD2">
      <w:pPr>
        <w:widowControl w:val="0"/>
        <w:autoSpaceDE w:val="0"/>
        <w:autoSpaceDN w:val="0"/>
        <w:adjustRightInd w:val="0"/>
      </w:pPr>
      <w:r>
        <w:t xml:space="preserve">The applicant may file exhibits in addition to those required by the appropriate form, except Notices of Liens pursuant to Section 10-115 of the Act.  The exhibits shall be marked to indicate the subject matters to which they refer. </w:t>
      </w:r>
    </w:p>
    <w:p w:rsidR="00A92CD2" w:rsidRDefault="00A92CD2" w:rsidP="00A92CD2">
      <w:pPr>
        <w:widowControl w:val="0"/>
        <w:autoSpaceDE w:val="0"/>
        <w:autoSpaceDN w:val="0"/>
        <w:adjustRightInd w:val="0"/>
      </w:pPr>
    </w:p>
    <w:p w:rsidR="00A92CD2" w:rsidRDefault="00A92CD2" w:rsidP="00A92CD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1779, effective January 10, 2001) </w:t>
      </w:r>
    </w:p>
    <w:sectPr w:rsidR="00A92CD2" w:rsidSect="00A92C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CD2"/>
    <w:rsid w:val="000754CF"/>
    <w:rsid w:val="001678D1"/>
    <w:rsid w:val="0018246C"/>
    <w:rsid w:val="008E220F"/>
    <w:rsid w:val="00A9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