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0" w:rsidRDefault="00297620" w:rsidP="002976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7620" w:rsidRDefault="00297620" w:rsidP="002976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130.1124  Burden of Proof</w:t>
      </w:r>
      <w:r>
        <w:t xml:space="preserve"> </w:t>
      </w:r>
    </w:p>
    <w:p w:rsidR="00297620" w:rsidRDefault="00297620" w:rsidP="00297620">
      <w:pPr>
        <w:widowControl w:val="0"/>
        <w:autoSpaceDE w:val="0"/>
        <w:autoSpaceDN w:val="0"/>
        <w:adjustRightInd w:val="0"/>
      </w:pPr>
    </w:p>
    <w:p w:rsidR="00297620" w:rsidRDefault="00297620" w:rsidP="00297620">
      <w:pPr>
        <w:widowControl w:val="0"/>
        <w:autoSpaceDE w:val="0"/>
        <w:autoSpaceDN w:val="0"/>
        <w:adjustRightInd w:val="0"/>
      </w:pPr>
      <w:r>
        <w:t xml:space="preserve">Except as provided in Section 15 of the Illinois Securities Law of 1953 or Section 5-20 of the Business Opportunities Sales Law of 1995, the burden of proof is upon the Securities Department in all cases initiated by the Securities Department. </w:t>
      </w:r>
    </w:p>
    <w:p w:rsidR="00297620" w:rsidRDefault="00297620" w:rsidP="00297620">
      <w:pPr>
        <w:widowControl w:val="0"/>
        <w:autoSpaceDE w:val="0"/>
        <w:autoSpaceDN w:val="0"/>
        <w:adjustRightInd w:val="0"/>
      </w:pPr>
    </w:p>
    <w:p w:rsidR="00297620" w:rsidRDefault="00297620" w:rsidP="002976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1933, effective January 1, 1998) </w:t>
      </w:r>
    </w:p>
    <w:sectPr w:rsidR="00297620" w:rsidSect="002976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620"/>
    <w:rsid w:val="001678D1"/>
    <w:rsid w:val="00297620"/>
    <w:rsid w:val="00A218D5"/>
    <w:rsid w:val="00A612C1"/>
    <w:rsid w:val="00F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