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F0B" w:rsidRDefault="00FA6F0B" w:rsidP="00FA6F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6F0B" w:rsidRDefault="00FA6F0B" w:rsidP="00FA6F0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130.1108  Substitution of Parties</w:t>
      </w:r>
      <w:r>
        <w:t xml:space="preserve"> </w:t>
      </w:r>
    </w:p>
    <w:p w:rsidR="00FA6F0B" w:rsidRDefault="00FA6F0B" w:rsidP="00FA6F0B">
      <w:pPr>
        <w:widowControl w:val="0"/>
        <w:autoSpaceDE w:val="0"/>
        <w:autoSpaceDN w:val="0"/>
        <w:adjustRightInd w:val="0"/>
      </w:pPr>
    </w:p>
    <w:p w:rsidR="00FA6F0B" w:rsidRDefault="00FA6F0B" w:rsidP="00FA6F0B">
      <w:pPr>
        <w:widowControl w:val="0"/>
        <w:autoSpaceDE w:val="0"/>
        <w:autoSpaceDN w:val="0"/>
        <w:adjustRightInd w:val="0"/>
      </w:pPr>
      <w:r>
        <w:t xml:space="preserve">A hearing officer may, upon motion by a party, order a substitution of parties in cases such as a successor entity, death, incompetency, bankruptcy assignments, marriage and legal disability. </w:t>
      </w:r>
    </w:p>
    <w:p w:rsidR="00FA6F0B" w:rsidRDefault="00FA6F0B" w:rsidP="00FA6F0B">
      <w:pPr>
        <w:widowControl w:val="0"/>
        <w:autoSpaceDE w:val="0"/>
        <w:autoSpaceDN w:val="0"/>
        <w:adjustRightInd w:val="0"/>
      </w:pPr>
    </w:p>
    <w:p w:rsidR="00FA6F0B" w:rsidRDefault="00FA6F0B" w:rsidP="00FA6F0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14 Ill. Reg. 5188, effective March 26, 1990) </w:t>
      </w:r>
    </w:p>
    <w:sectPr w:rsidR="00FA6F0B" w:rsidSect="00FA6F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6F0B"/>
    <w:rsid w:val="001678D1"/>
    <w:rsid w:val="004B3870"/>
    <w:rsid w:val="007D7D6A"/>
    <w:rsid w:val="00885704"/>
    <w:rsid w:val="00FA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Roberts, John</cp:lastModifiedBy>
  <cp:revision>3</cp:revision>
  <dcterms:created xsi:type="dcterms:W3CDTF">2012-06-21T21:54:00Z</dcterms:created>
  <dcterms:modified xsi:type="dcterms:W3CDTF">2012-06-21T21:54:00Z</dcterms:modified>
</cp:coreProperties>
</file>