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85" w:rsidRDefault="00D55185" w:rsidP="00D55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185" w:rsidRDefault="00D55185" w:rsidP="00D55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130.852  Compensation</w:t>
      </w:r>
      <w:r>
        <w:t xml:space="preserve"> </w:t>
      </w:r>
    </w:p>
    <w:p w:rsidR="00D55185" w:rsidRDefault="00D55185" w:rsidP="00D55185">
      <w:pPr>
        <w:widowControl w:val="0"/>
        <w:autoSpaceDE w:val="0"/>
        <w:autoSpaceDN w:val="0"/>
        <w:adjustRightInd w:val="0"/>
      </w:pPr>
    </w:p>
    <w:p w:rsidR="00D55185" w:rsidRDefault="00D55185" w:rsidP="00D55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registered investment adviser or its representatives shall charge or receive compensation in connection with the giving of investment advice unless </w:t>
      </w:r>
      <w:r w:rsidR="00E138C0">
        <w:t>the</w:t>
      </w:r>
      <w:r>
        <w:t xml:space="preserve"> compensation is fair and reasonable and is determined on an equitable basis adequately disclosed to each client in writing. </w:t>
      </w:r>
    </w:p>
    <w:p w:rsidR="00AB45B0" w:rsidRDefault="00AB45B0" w:rsidP="00D55185">
      <w:pPr>
        <w:widowControl w:val="0"/>
        <w:autoSpaceDE w:val="0"/>
        <w:autoSpaceDN w:val="0"/>
        <w:adjustRightInd w:val="0"/>
        <w:ind w:left="1440" w:hanging="720"/>
      </w:pPr>
    </w:p>
    <w:p w:rsidR="00D55185" w:rsidRDefault="00D55185" w:rsidP="00D55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registered investment adviser or its representatives shall charge or receive compensation in connection with the giving of investment advice </w:t>
      </w:r>
      <w:r w:rsidR="00E138C0">
        <w:t>that</w:t>
      </w:r>
      <w:r>
        <w:t xml:space="preserve"> provides for compensation to the investment adviser or its representative on the basis of a share of the capital gains upon, or the capital appreciation of, the funds, or any portion of the funds, of a client, unless </w:t>
      </w:r>
      <w:r w:rsidR="00E138C0">
        <w:t>the</w:t>
      </w:r>
      <w:r>
        <w:t xml:space="preserve"> fees are charged in conformance with the provisions set forth in 17 CFR 275.205-3 </w:t>
      </w:r>
      <w:r w:rsidR="00E138C0">
        <w:t>(</w:t>
      </w:r>
      <w:r w:rsidR="007A1C8C">
        <w:t>September 19, 2011</w:t>
      </w:r>
      <w:r w:rsidR="00E138C0">
        <w:t>)</w:t>
      </w:r>
    </w:p>
    <w:p w:rsidR="00FD116D" w:rsidRDefault="00FD116D" w:rsidP="00D55185">
      <w:pPr>
        <w:widowControl w:val="0"/>
        <w:autoSpaceDE w:val="0"/>
        <w:autoSpaceDN w:val="0"/>
        <w:adjustRightInd w:val="0"/>
        <w:ind w:left="1440" w:hanging="720"/>
      </w:pPr>
    </w:p>
    <w:p w:rsidR="00FB48E1" w:rsidRPr="00D55B37" w:rsidRDefault="00FB48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36B4D">
        <w:t>6</w:t>
      </w:r>
      <w:r>
        <w:t xml:space="preserve"> I</w:t>
      </w:r>
      <w:r w:rsidRPr="00D55B37">
        <w:t xml:space="preserve">ll. Reg. </w:t>
      </w:r>
      <w:r w:rsidR="00730748">
        <w:t>2852</w:t>
      </w:r>
      <w:r w:rsidRPr="00D55B37">
        <w:t xml:space="preserve">, effective </w:t>
      </w:r>
      <w:r w:rsidR="00730748">
        <w:t>February 8, 2012</w:t>
      </w:r>
      <w:r w:rsidRPr="00D55B37">
        <w:t>)</w:t>
      </w:r>
    </w:p>
    <w:sectPr w:rsidR="00FB48E1" w:rsidRPr="00D55B37" w:rsidSect="00D55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185"/>
    <w:rsid w:val="001678D1"/>
    <w:rsid w:val="004E5A08"/>
    <w:rsid w:val="00730748"/>
    <w:rsid w:val="00736B4D"/>
    <w:rsid w:val="007A1C8C"/>
    <w:rsid w:val="008B4D31"/>
    <w:rsid w:val="00911D31"/>
    <w:rsid w:val="00997730"/>
    <w:rsid w:val="00AB45B0"/>
    <w:rsid w:val="00D55185"/>
    <w:rsid w:val="00D7257A"/>
    <w:rsid w:val="00E138C0"/>
    <w:rsid w:val="00FB48E1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4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